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ind w:firstLine="0" w:firstLineChars="0"/>
        <w:rPr>
          <w:rFonts w:ascii="黑体" w:hAnsi="黑体" w:eastAsia="黑体" w:cs="宋体"/>
          <w:bCs/>
          <w:kern w:val="0"/>
          <w:sz w:val="32"/>
          <w:szCs w:val="32"/>
        </w:rPr>
      </w:pPr>
      <w:bookmarkStart w:id="152" w:name="_GoBack"/>
      <w:bookmarkEnd w:id="152"/>
      <w:r>
        <w:rPr>
          <w:rFonts w:hint="eastAsia" w:ascii="黑体" w:hAnsi="黑体" w:eastAsia="黑体" w:cs="宋体"/>
          <w:bCs/>
          <w:kern w:val="0"/>
          <w:sz w:val="32"/>
          <w:szCs w:val="32"/>
        </w:rPr>
        <w:t>附件</w:t>
      </w:r>
    </w:p>
    <w:p>
      <w:pPr>
        <w:widowControl/>
        <w:kinsoku w:val="0"/>
        <w:autoSpaceDE w:val="0"/>
        <w:autoSpaceDN w:val="0"/>
        <w:adjustRightInd w:val="0"/>
        <w:snapToGrid w:val="0"/>
        <w:ind w:firstLine="0" w:firstLineChars="0"/>
        <w:jc w:val="center"/>
        <w:rPr>
          <w:rFonts w:ascii="宋体" w:hAnsi="宋体" w:eastAsia="宋体"/>
          <w:bCs/>
          <w:kern w:val="0"/>
          <w:sz w:val="21"/>
          <w:szCs w:val="21"/>
        </w:rPr>
      </w:pPr>
    </w:p>
    <w:p>
      <w:pPr>
        <w:widowControl/>
        <w:kinsoku w:val="0"/>
        <w:autoSpaceDE w:val="0"/>
        <w:autoSpaceDN w:val="0"/>
        <w:adjustRightInd w:val="0"/>
        <w:snapToGrid w:val="0"/>
        <w:ind w:firstLine="0" w:firstLineChars="0"/>
        <w:jc w:val="center"/>
        <w:rPr>
          <w:rFonts w:ascii="宋体" w:hAnsi="宋体" w:eastAsia="宋体"/>
          <w:bCs/>
          <w:kern w:val="0"/>
          <w:sz w:val="21"/>
          <w:szCs w:val="21"/>
        </w:rPr>
      </w:pPr>
    </w:p>
    <w:p>
      <w:pPr>
        <w:widowControl/>
        <w:kinsoku w:val="0"/>
        <w:overflowPunct w:val="0"/>
        <w:autoSpaceDE w:val="0"/>
        <w:autoSpaceDN w:val="0"/>
        <w:adjustRightInd w:val="0"/>
        <w:snapToGrid w:val="0"/>
        <w:ind w:firstLine="0" w:firstLineChars="0"/>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深圳证券交易所股票期权试点</w:t>
      </w:r>
    </w:p>
    <w:p>
      <w:pPr>
        <w:widowControl/>
        <w:kinsoku w:val="0"/>
        <w:autoSpaceDE w:val="0"/>
        <w:autoSpaceDN w:val="0"/>
        <w:adjustRightInd w:val="0"/>
        <w:snapToGrid w:val="0"/>
        <w:ind w:firstLine="0" w:firstLineChars="0"/>
        <w:jc w:val="center"/>
        <w:rPr>
          <w:rFonts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做市商业务指南（2023年</w:t>
      </w:r>
      <w:r>
        <w:rPr>
          <w:rFonts w:hint="default" w:ascii="方正小标宋简体" w:hAnsi="宋体" w:eastAsia="方正小标宋简体" w:cs="宋体"/>
          <w:bCs/>
          <w:kern w:val="0"/>
          <w:sz w:val="44"/>
          <w:szCs w:val="44"/>
          <w:lang w:val="en-US"/>
        </w:rPr>
        <w:t>1</w:t>
      </w:r>
      <w:r>
        <w:rPr>
          <w:rFonts w:hint="eastAsia" w:ascii="方正小标宋简体" w:hAnsi="宋体" w:eastAsia="方正小标宋简体" w:cs="宋体"/>
          <w:bCs/>
          <w:kern w:val="0"/>
          <w:sz w:val="44"/>
          <w:szCs w:val="44"/>
          <w:lang w:val="en-US" w:eastAsia="zh-CN"/>
        </w:rPr>
        <w:t>1月</w:t>
      </w:r>
      <w:r>
        <w:rPr>
          <w:rFonts w:hint="eastAsia" w:ascii="方正小标宋简体" w:hAnsi="宋体" w:eastAsia="方正小标宋简体" w:cs="宋体"/>
          <w:bCs/>
          <w:kern w:val="0"/>
          <w:sz w:val="44"/>
          <w:szCs w:val="44"/>
        </w:rPr>
        <w:t>修订）</w:t>
      </w:r>
    </w:p>
    <w:p>
      <w:pPr>
        <w:widowControl/>
        <w:kinsoku w:val="0"/>
        <w:autoSpaceDE w:val="0"/>
        <w:autoSpaceDN w:val="0"/>
        <w:adjustRightInd w:val="0"/>
        <w:snapToGrid w:val="0"/>
        <w:ind w:firstLine="0" w:firstLineChars="0"/>
        <w:jc w:val="center"/>
        <w:rPr>
          <w:rFonts w:ascii="宋体" w:hAnsi="宋体" w:eastAsia="宋体"/>
          <w:bCs/>
          <w:kern w:val="0"/>
          <w:sz w:val="21"/>
          <w:szCs w:val="21"/>
        </w:rPr>
      </w:pPr>
    </w:p>
    <w:p>
      <w:pPr>
        <w:widowControl/>
        <w:kinsoku w:val="0"/>
        <w:autoSpaceDE w:val="0"/>
        <w:autoSpaceDN w:val="0"/>
        <w:adjustRightInd w:val="0"/>
        <w:snapToGrid w:val="0"/>
        <w:ind w:firstLine="0" w:firstLineChars="0"/>
        <w:jc w:val="center"/>
        <w:rPr>
          <w:rFonts w:ascii="宋体" w:hAnsi="宋体" w:eastAsia="宋体"/>
          <w:bCs/>
          <w:kern w:val="0"/>
          <w:sz w:val="21"/>
          <w:szCs w:val="21"/>
        </w:rPr>
      </w:pPr>
    </w:p>
    <w:p>
      <w:pPr>
        <w:widowControl/>
        <w:kinsoku w:val="0"/>
        <w:autoSpaceDE w:val="0"/>
        <w:autoSpaceDN w:val="0"/>
        <w:adjustRightInd w:val="0"/>
        <w:snapToGrid w:val="0"/>
        <w:ind w:firstLine="0" w:firstLineChars="0"/>
        <w:jc w:val="center"/>
        <w:rPr>
          <w:rFonts w:ascii="宋体" w:hAnsi="宋体" w:eastAsia="宋体"/>
          <w:bCs/>
          <w:kern w:val="0"/>
          <w:sz w:val="21"/>
          <w:szCs w:val="21"/>
        </w:rPr>
      </w:pPr>
    </w:p>
    <w:p>
      <w:pPr>
        <w:widowControl/>
        <w:ind w:firstLine="0" w:firstLineChars="0"/>
        <w:jc w:val="center"/>
        <w:rPr>
          <w:rFonts w:hAnsi="Times New Roman"/>
          <w:b/>
          <w:bCs/>
          <w:sz w:val="32"/>
          <w:szCs w:val="32"/>
        </w:rPr>
      </w:pPr>
      <w:r>
        <w:rPr>
          <w:rFonts w:ascii="仿宋" w:hAnsi="仿宋" w:eastAsia="黑体"/>
          <w:b/>
          <w:bCs/>
          <w:sz w:val="32"/>
          <w:szCs w:val="32"/>
        </w:rPr>
        <w:t>目录</w:t>
      </w:r>
    </w:p>
    <w:p>
      <w:pPr>
        <w:pStyle w:val="21"/>
        <w:tabs>
          <w:tab w:val="right" w:leader="dot" w:pos="8617"/>
          <w:tab w:val="clear" w:pos="8296"/>
        </w:tabs>
      </w:pPr>
      <w:r>
        <w:rPr>
          <w:rFonts w:ascii="Times New Roman" w:hAnsi="Times New Roman"/>
          <w:b w:val="0"/>
          <w:szCs w:val="22"/>
        </w:rPr>
        <w:fldChar w:fldCharType="begin"/>
      </w:r>
      <w:r>
        <w:rPr>
          <w:rFonts w:ascii="Times New Roman" w:hAnsi="Times New Roman"/>
          <w:b w:val="0"/>
          <w:szCs w:val="22"/>
        </w:rPr>
        <w:instrText xml:space="preserve"> TOC \o "1-2" \h \z \u </w:instrText>
      </w:r>
      <w:r>
        <w:rPr>
          <w:rFonts w:ascii="Times New Roman" w:hAnsi="Times New Roman"/>
          <w:b w:val="0"/>
          <w:szCs w:val="22"/>
        </w:rPr>
        <w:fldChar w:fldCharType="separate"/>
      </w:r>
      <w:r>
        <w:rPr>
          <w:rFonts w:ascii="Times New Roman" w:hAnsi="Times New Roman"/>
          <w:szCs w:val="22"/>
        </w:rPr>
        <w:fldChar w:fldCharType="begin"/>
      </w:r>
      <w:r>
        <w:rPr>
          <w:rFonts w:ascii="Times New Roman" w:hAnsi="Times New Roman"/>
          <w:szCs w:val="22"/>
        </w:rPr>
        <w:instrText xml:space="preserve"> HYPERLINK \l _Toc3495 </w:instrText>
      </w:r>
      <w:r>
        <w:rPr>
          <w:rFonts w:ascii="Times New Roman" w:hAnsi="Times New Roman"/>
          <w:szCs w:val="22"/>
        </w:rPr>
        <w:fldChar w:fldCharType="separate"/>
      </w:r>
      <w:r>
        <w:rPr>
          <w:rFonts w:hint="eastAsia" w:ascii="方正小标宋简体" w:hAnsi="黑体" w:eastAsia="方正小标宋简体"/>
          <w:bCs/>
          <w:szCs w:val="44"/>
        </w:rPr>
        <w:t>说明及声明</w:t>
      </w:r>
      <w:r>
        <w:tab/>
      </w:r>
      <w:r>
        <w:fldChar w:fldCharType="begin"/>
      </w:r>
      <w:r>
        <w:instrText xml:space="preserve"> PAGEREF _Toc3495 \h </w:instrText>
      </w:r>
      <w:r>
        <w:fldChar w:fldCharType="separate"/>
      </w:r>
      <w:r>
        <w:t>4</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_Toc23614 </w:instrText>
      </w:r>
      <w:r>
        <w:rPr>
          <w:rFonts w:ascii="Times New Roman" w:hAnsi="Times New Roman"/>
          <w:szCs w:val="22"/>
        </w:rPr>
        <w:fldChar w:fldCharType="separate"/>
      </w:r>
      <w:r>
        <w:rPr>
          <w:rFonts w:hint="eastAsia" w:ascii="黑体" w:hAnsi="黑体" w:eastAsia="黑体"/>
          <w:bCs/>
        </w:rPr>
        <w:t>第一章</w:t>
      </w:r>
      <w:r>
        <w:rPr>
          <w:rFonts w:ascii="黑体" w:hAnsi="黑体" w:eastAsia="黑体"/>
          <w:bCs/>
        </w:rPr>
        <w:t xml:space="preserve"> </w:t>
      </w:r>
      <w:r>
        <w:rPr>
          <w:rFonts w:hint="eastAsia" w:ascii="黑体" w:hAnsi="黑体" w:eastAsia="黑体"/>
          <w:bCs/>
        </w:rPr>
        <w:t>总体要求</w:t>
      </w:r>
      <w:r>
        <w:tab/>
      </w:r>
      <w:r>
        <w:fldChar w:fldCharType="begin"/>
      </w:r>
      <w:r>
        <w:instrText xml:space="preserve"> PAGEREF _Toc23614 \h </w:instrText>
      </w:r>
      <w:r>
        <w:fldChar w:fldCharType="separate"/>
      </w:r>
      <w:r>
        <w:t>5</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_Toc20367 </w:instrText>
      </w:r>
      <w:r>
        <w:rPr>
          <w:rFonts w:ascii="Times New Roman" w:hAnsi="Times New Roman"/>
          <w:szCs w:val="22"/>
        </w:rPr>
        <w:fldChar w:fldCharType="separate"/>
      </w:r>
      <w:r>
        <w:rPr>
          <w:rFonts w:hint="eastAsia" w:ascii="黑体" w:hAnsi="黑体" w:eastAsia="黑体"/>
        </w:rPr>
        <w:t>一、概述</w:t>
      </w:r>
      <w:r>
        <w:tab/>
      </w:r>
      <w:r>
        <w:fldChar w:fldCharType="begin"/>
      </w:r>
      <w:r>
        <w:instrText xml:space="preserve"> PAGEREF _Toc20367 \h </w:instrText>
      </w:r>
      <w:r>
        <w:fldChar w:fldCharType="separate"/>
      </w:r>
      <w:r>
        <w:t>5</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_Toc28427 </w:instrText>
      </w:r>
      <w:r>
        <w:rPr>
          <w:rFonts w:ascii="Times New Roman" w:hAnsi="Times New Roman"/>
          <w:szCs w:val="22"/>
        </w:rPr>
        <w:fldChar w:fldCharType="separate"/>
      </w:r>
      <w:r>
        <w:rPr>
          <w:rFonts w:hint="eastAsia" w:ascii="黑体" w:hAnsi="黑体" w:eastAsia="黑体"/>
        </w:rPr>
        <w:t>二、组织架构与岗位设置</w:t>
      </w:r>
      <w:r>
        <w:tab/>
      </w:r>
      <w:r>
        <w:fldChar w:fldCharType="begin"/>
      </w:r>
      <w:r>
        <w:instrText xml:space="preserve"> PAGEREF _Toc28427 \h </w:instrText>
      </w:r>
      <w:r>
        <w:fldChar w:fldCharType="separate"/>
      </w:r>
      <w:r>
        <w:t>5</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_Toc8252 </w:instrText>
      </w:r>
      <w:r>
        <w:rPr>
          <w:rFonts w:ascii="Times New Roman" w:hAnsi="Times New Roman"/>
          <w:szCs w:val="22"/>
        </w:rPr>
        <w:fldChar w:fldCharType="separate"/>
      </w:r>
      <w:r>
        <w:rPr>
          <w:rFonts w:hint="eastAsia" w:ascii="黑体" w:hAnsi="黑体" w:eastAsia="黑体"/>
        </w:rPr>
        <w:t>三、制度与流程</w:t>
      </w:r>
      <w:r>
        <w:tab/>
      </w:r>
      <w:r>
        <w:fldChar w:fldCharType="begin"/>
      </w:r>
      <w:r>
        <w:instrText xml:space="preserve"> PAGEREF _Toc8252 \h </w:instrText>
      </w:r>
      <w:r>
        <w:fldChar w:fldCharType="separate"/>
      </w:r>
      <w:r>
        <w:t>6</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_Toc10730 </w:instrText>
      </w:r>
      <w:r>
        <w:rPr>
          <w:rFonts w:ascii="Times New Roman" w:hAnsi="Times New Roman"/>
          <w:szCs w:val="22"/>
        </w:rPr>
        <w:fldChar w:fldCharType="separate"/>
      </w:r>
      <w:r>
        <w:rPr>
          <w:rFonts w:hint="eastAsia" w:ascii="黑体" w:hAnsi="黑体" w:eastAsia="黑体"/>
          <w:bCs/>
        </w:rPr>
        <w:t>第二章</w:t>
      </w:r>
      <w:r>
        <w:rPr>
          <w:rFonts w:ascii="黑体" w:hAnsi="黑体" w:eastAsia="黑体"/>
          <w:bCs/>
        </w:rPr>
        <w:t xml:space="preserve"> </w:t>
      </w:r>
      <w:r>
        <w:rPr>
          <w:rFonts w:hint="eastAsia" w:ascii="黑体" w:hAnsi="黑体" w:eastAsia="黑体"/>
          <w:bCs/>
        </w:rPr>
        <w:t>业务申请与受理</w:t>
      </w:r>
      <w:r>
        <w:tab/>
      </w:r>
      <w:r>
        <w:fldChar w:fldCharType="begin"/>
      </w:r>
      <w:r>
        <w:instrText xml:space="preserve"> PAGEREF _Toc10730 \h </w:instrText>
      </w:r>
      <w:r>
        <w:fldChar w:fldCharType="separate"/>
      </w:r>
      <w:r>
        <w:t>7</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_Toc4240 </w:instrText>
      </w:r>
      <w:r>
        <w:rPr>
          <w:rFonts w:ascii="Times New Roman" w:hAnsi="Times New Roman"/>
          <w:szCs w:val="22"/>
        </w:rPr>
        <w:fldChar w:fldCharType="separate"/>
      </w:r>
      <w:r>
        <w:rPr>
          <w:rFonts w:hint="eastAsia" w:ascii="黑体" w:hAnsi="黑体" w:eastAsia="黑体"/>
        </w:rPr>
        <w:t>一、做市申请条件</w:t>
      </w:r>
      <w:r>
        <w:tab/>
      </w:r>
      <w:r>
        <w:fldChar w:fldCharType="begin"/>
      </w:r>
      <w:r>
        <w:instrText xml:space="preserve"> PAGEREF _Toc4240 \h </w:instrText>
      </w:r>
      <w:r>
        <w:fldChar w:fldCharType="separate"/>
      </w:r>
      <w:r>
        <w:t>7</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_Toc32575 </w:instrText>
      </w:r>
      <w:r>
        <w:rPr>
          <w:rFonts w:ascii="Times New Roman" w:hAnsi="Times New Roman"/>
          <w:szCs w:val="22"/>
        </w:rPr>
        <w:fldChar w:fldCharType="separate"/>
      </w:r>
      <w:r>
        <w:rPr>
          <w:rFonts w:hint="eastAsia" w:ascii="黑体" w:hAnsi="黑体" w:eastAsia="黑体"/>
        </w:rPr>
        <w:t>二、做市申请材料</w:t>
      </w:r>
      <w:r>
        <w:tab/>
      </w:r>
      <w:r>
        <w:fldChar w:fldCharType="begin"/>
      </w:r>
      <w:r>
        <w:instrText xml:space="preserve"> PAGEREF _Toc32575 \h </w:instrText>
      </w:r>
      <w:r>
        <w:fldChar w:fldCharType="separate"/>
      </w:r>
      <w:r>
        <w:t>8</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_Toc574 </w:instrText>
      </w:r>
      <w:r>
        <w:rPr>
          <w:rFonts w:ascii="Times New Roman" w:hAnsi="Times New Roman"/>
          <w:szCs w:val="22"/>
        </w:rPr>
        <w:fldChar w:fldCharType="separate"/>
      </w:r>
      <w:r>
        <w:rPr>
          <w:rFonts w:hint="eastAsia" w:ascii="黑体" w:hAnsi="黑体" w:eastAsia="黑体"/>
        </w:rPr>
        <w:t>三、做市申请受理</w:t>
      </w:r>
      <w:r>
        <w:tab/>
      </w:r>
      <w:r>
        <w:fldChar w:fldCharType="begin"/>
      </w:r>
      <w:r>
        <w:instrText xml:space="preserve"> PAGEREF _Toc574 \h </w:instrText>
      </w:r>
      <w:r>
        <w:fldChar w:fldCharType="separate"/>
      </w:r>
      <w:r>
        <w:t>9</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_Toc10058 </w:instrText>
      </w:r>
      <w:r>
        <w:rPr>
          <w:rFonts w:ascii="Times New Roman" w:hAnsi="Times New Roman"/>
          <w:szCs w:val="22"/>
        </w:rPr>
        <w:fldChar w:fldCharType="separate"/>
      </w:r>
      <w:r>
        <w:rPr>
          <w:rFonts w:hint="eastAsia" w:ascii="黑体" w:hAnsi="黑体" w:eastAsia="黑体"/>
        </w:rPr>
        <w:t>四、主做市商增补</w:t>
      </w:r>
      <w:r>
        <w:tab/>
      </w:r>
      <w:r>
        <w:fldChar w:fldCharType="begin"/>
      </w:r>
      <w:r>
        <w:instrText xml:space="preserve"> PAGEREF _Toc10058 \h </w:instrText>
      </w:r>
      <w:r>
        <w:fldChar w:fldCharType="separate"/>
      </w:r>
      <w:r>
        <w:t>10</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_Toc7291 </w:instrText>
      </w:r>
      <w:r>
        <w:rPr>
          <w:rFonts w:ascii="Times New Roman" w:hAnsi="Times New Roman"/>
          <w:szCs w:val="22"/>
        </w:rPr>
        <w:fldChar w:fldCharType="separate"/>
      </w:r>
      <w:r>
        <w:rPr>
          <w:rFonts w:hint="eastAsia" w:ascii="黑体" w:hAnsi="黑体" w:eastAsia="黑体"/>
        </w:rPr>
        <w:t>五、拟上市品种主做市商招募</w:t>
      </w:r>
      <w:r>
        <w:tab/>
      </w:r>
      <w:r>
        <w:fldChar w:fldCharType="begin"/>
      </w:r>
      <w:r>
        <w:instrText xml:space="preserve"> PAGEREF _Toc7291 \h </w:instrText>
      </w:r>
      <w:r>
        <w:fldChar w:fldCharType="separate"/>
      </w:r>
      <w:r>
        <w:t>10</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_Toc1177 </w:instrText>
      </w:r>
      <w:r>
        <w:rPr>
          <w:rFonts w:ascii="Times New Roman" w:hAnsi="Times New Roman"/>
          <w:szCs w:val="22"/>
        </w:rPr>
        <w:fldChar w:fldCharType="separate"/>
      </w:r>
      <w:r>
        <w:rPr>
          <w:rFonts w:hint="eastAsia" w:ascii="黑体" w:hAnsi="黑体" w:eastAsia="黑体"/>
        </w:rPr>
        <w:t>六、合约品种与持仓限额的同步申请</w:t>
      </w:r>
      <w:r>
        <w:tab/>
      </w:r>
      <w:r>
        <w:fldChar w:fldCharType="begin"/>
      </w:r>
      <w:r>
        <w:instrText xml:space="preserve"> PAGEREF _Toc1177 \h </w:instrText>
      </w:r>
      <w:r>
        <w:fldChar w:fldCharType="separate"/>
      </w:r>
      <w:r>
        <w:t>10</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_Toc22302 </w:instrText>
      </w:r>
      <w:r>
        <w:rPr>
          <w:rFonts w:ascii="Times New Roman" w:hAnsi="Times New Roman"/>
          <w:szCs w:val="22"/>
        </w:rPr>
        <w:fldChar w:fldCharType="separate"/>
      </w:r>
      <w:r>
        <w:rPr>
          <w:rFonts w:hint="eastAsia" w:ascii="黑体" w:hAnsi="黑体" w:eastAsia="黑体"/>
        </w:rPr>
        <w:t>七、指定合约做市</w:t>
      </w:r>
      <w:r>
        <w:tab/>
      </w:r>
      <w:r>
        <w:fldChar w:fldCharType="begin"/>
      </w:r>
      <w:r>
        <w:instrText xml:space="preserve"> PAGEREF _Toc22302 \h </w:instrText>
      </w:r>
      <w:r>
        <w:fldChar w:fldCharType="separate"/>
      </w:r>
      <w:r>
        <w:t>11</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_Toc22814 </w:instrText>
      </w:r>
      <w:r>
        <w:rPr>
          <w:rFonts w:ascii="Times New Roman" w:hAnsi="Times New Roman"/>
          <w:szCs w:val="22"/>
        </w:rPr>
        <w:fldChar w:fldCharType="separate"/>
      </w:r>
      <w:r>
        <w:rPr>
          <w:rFonts w:hint="eastAsia" w:ascii="黑体" w:hAnsi="黑体" w:eastAsia="黑体"/>
        </w:rPr>
        <w:t>八、做市专用交易单元设立及权限开通</w:t>
      </w:r>
      <w:r>
        <w:tab/>
      </w:r>
      <w:r>
        <w:fldChar w:fldCharType="begin"/>
      </w:r>
      <w:r>
        <w:instrText xml:space="preserve"> PAGEREF _Toc22814 \h </w:instrText>
      </w:r>
      <w:r>
        <w:fldChar w:fldCharType="separate"/>
      </w:r>
      <w:r>
        <w:t>11</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_Toc22500 </w:instrText>
      </w:r>
      <w:r>
        <w:rPr>
          <w:rFonts w:ascii="Times New Roman" w:hAnsi="Times New Roman"/>
          <w:szCs w:val="22"/>
        </w:rPr>
        <w:fldChar w:fldCharType="separate"/>
      </w:r>
      <w:r>
        <w:rPr>
          <w:rFonts w:hint="eastAsia" w:ascii="黑体" w:hAnsi="黑体" w:eastAsia="黑体"/>
        </w:rPr>
        <w:t>九、做市业务账户报备</w:t>
      </w:r>
      <w:r>
        <w:tab/>
      </w:r>
      <w:r>
        <w:fldChar w:fldCharType="begin"/>
      </w:r>
      <w:r>
        <w:instrText xml:space="preserve"> PAGEREF _Toc22500 \h </w:instrText>
      </w:r>
      <w:r>
        <w:fldChar w:fldCharType="separate"/>
      </w:r>
      <w:r>
        <w:t>12</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_Toc14572 </w:instrText>
      </w:r>
      <w:r>
        <w:rPr>
          <w:rFonts w:ascii="Times New Roman" w:hAnsi="Times New Roman"/>
          <w:szCs w:val="22"/>
        </w:rPr>
        <w:fldChar w:fldCharType="separate"/>
      </w:r>
      <w:r>
        <w:rPr>
          <w:rFonts w:hint="eastAsia" w:ascii="黑体" w:hAnsi="黑体" w:eastAsia="黑体"/>
        </w:rPr>
        <w:t>十、签订做市协议</w:t>
      </w:r>
      <w:r>
        <w:tab/>
      </w:r>
      <w:r>
        <w:fldChar w:fldCharType="begin"/>
      </w:r>
      <w:r>
        <w:instrText xml:space="preserve"> PAGEREF _Toc14572 \h </w:instrText>
      </w:r>
      <w:r>
        <w:fldChar w:fldCharType="separate"/>
      </w:r>
      <w:r>
        <w:t>13</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_Toc31413 </w:instrText>
      </w:r>
      <w:r>
        <w:rPr>
          <w:rFonts w:ascii="Times New Roman" w:hAnsi="Times New Roman"/>
          <w:szCs w:val="22"/>
        </w:rPr>
        <w:fldChar w:fldCharType="separate"/>
      </w:r>
      <w:r>
        <w:rPr>
          <w:rFonts w:hint="eastAsia" w:ascii="黑体" w:hAnsi="黑体" w:eastAsia="黑体"/>
        </w:rPr>
        <w:t>十一、主动申请终止合约品种做市</w:t>
      </w:r>
      <w:r>
        <w:tab/>
      </w:r>
      <w:r>
        <w:fldChar w:fldCharType="begin"/>
      </w:r>
      <w:r>
        <w:instrText xml:space="preserve"> PAGEREF _Toc31413 \h </w:instrText>
      </w:r>
      <w:r>
        <w:fldChar w:fldCharType="separate"/>
      </w:r>
      <w:r>
        <w:t>13</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_Toc20456 </w:instrText>
      </w:r>
      <w:r>
        <w:rPr>
          <w:rFonts w:ascii="Times New Roman" w:hAnsi="Times New Roman"/>
          <w:szCs w:val="22"/>
        </w:rPr>
        <w:fldChar w:fldCharType="separate"/>
      </w:r>
      <w:r>
        <w:rPr>
          <w:rFonts w:hint="eastAsia" w:ascii="黑体" w:hAnsi="黑体" w:eastAsia="黑体"/>
          <w:bCs/>
        </w:rPr>
        <w:t>第三章</w:t>
      </w:r>
      <w:r>
        <w:rPr>
          <w:rFonts w:ascii="黑体" w:hAnsi="黑体" w:eastAsia="黑体"/>
          <w:bCs/>
        </w:rPr>
        <w:t xml:space="preserve"> </w:t>
      </w:r>
      <w:r>
        <w:rPr>
          <w:rFonts w:hint="eastAsia" w:ascii="黑体" w:hAnsi="黑体" w:eastAsia="黑体"/>
          <w:bCs/>
        </w:rPr>
        <w:t>报价义务</w:t>
      </w:r>
      <w:r>
        <w:tab/>
      </w:r>
      <w:r>
        <w:fldChar w:fldCharType="begin"/>
      </w:r>
      <w:r>
        <w:instrText xml:space="preserve"> PAGEREF _Toc20456 \h </w:instrText>
      </w:r>
      <w:r>
        <w:fldChar w:fldCharType="separate"/>
      </w:r>
      <w:r>
        <w:t>14</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_Toc25877 </w:instrText>
      </w:r>
      <w:r>
        <w:rPr>
          <w:rFonts w:ascii="Times New Roman" w:hAnsi="Times New Roman"/>
          <w:szCs w:val="22"/>
        </w:rPr>
        <w:fldChar w:fldCharType="separate"/>
      </w:r>
      <w:r>
        <w:rPr>
          <w:rFonts w:hint="eastAsia" w:ascii="黑体" w:hAnsi="黑体" w:eastAsia="黑体"/>
        </w:rPr>
        <w:t>一、最大买卖价差</w:t>
      </w:r>
      <w:r>
        <w:tab/>
      </w:r>
      <w:r>
        <w:fldChar w:fldCharType="begin"/>
      </w:r>
      <w:r>
        <w:instrText xml:space="preserve"> PAGEREF _Toc25877 \h </w:instrText>
      </w:r>
      <w:r>
        <w:fldChar w:fldCharType="separate"/>
      </w:r>
      <w:r>
        <w:t>14</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_Toc31216 </w:instrText>
      </w:r>
      <w:r>
        <w:rPr>
          <w:rFonts w:ascii="Times New Roman" w:hAnsi="Times New Roman"/>
          <w:szCs w:val="22"/>
        </w:rPr>
        <w:fldChar w:fldCharType="separate"/>
      </w:r>
      <w:r>
        <w:rPr>
          <w:rFonts w:hint="eastAsia" w:ascii="黑体" w:hAnsi="黑体" w:eastAsia="黑体"/>
        </w:rPr>
        <w:t>二、最小报价数量</w:t>
      </w:r>
      <w:r>
        <w:tab/>
      </w:r>
      <w:r>
        <w:fldChar w:fldCharType="begin"/>
      </w:r>
      <w:r>
        <w:instrText xml:space="preserve"> PAGEREF _Toc31216 \h </w:instrText>
      </w:r>
      <w:r>
        <w:fldChar w:fldCharType="separate"/>
      </w:r>
      <w:r>
        <w:t>14</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_Toc17964 </w:instrText>
      </w:r>
      <w:r>
        <w:rPr>
          <w:rFonts w:ascii="Times New Roman" w:hAnsi="Times New Roman"/>
          <w:szCs w:val="22"/>
        </w:rPr>
        <w:fldChar w:fldCharType="separate"/>
      </w:r>
      <w:r>
        <w:rPr>
          <w:rFonts w:hint="eastAsia" w:ascii="黑体" w:hAnsi="黑体" w:eastAsia="黑体"/>
        </w:rPr>
        <w:t>三、合约覆盖率</w:t>
      </w:r>
      <w:r>
        <w:tab/>
      </w:r>
      <w:r>
        <w:fldChar w:fldCharType="begin"/>
      </w:r>
      <w:r>
        <w:instrText xml:space="preserve"> PAGEREF _Toc17964 \h </w:instrText>
      </w:r>
      <w:r>
        <w:fldChar w:fldCharType="separate"/>
      </w:r>
      <w:r>
        <w:t>14</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_Toc26947 </w:instrText>
      </w:r>
      <w:r>
        <w:rPr>
          <w:rFonts w:ascii="Times New Roman" w:hAnsi="Times New Roman"/>
          <w:szCs w:val="22"/>
        </w:rPr>
        <w:fldChar w:fldCharType="separate"/>
      </w:r>
      <w:r>
        <w:rPr>
          <w:rFonts w:hint="eastAsia" w:ascii="黑体" w:hAnsi="黑体" w:eastAsia="黑体"/>
        </w:rPr>
        <w:t>四、最长回应时限</w:t>
      </w:r>
      <w:r>
        <w:tab/>
      </w:r>
      <w:r>
        <w:fldChar w:fldCharType="begin"/>
      </w:r>
      <w:r>
        <w:instrText xml:space="preserve"> PAGEREF _Toc26947 \h </w:instrText>
      </w:r>
      <w:r>
        <w:fldChar w:fldCharType="separate"/>
      </w:r>
      <w:r>
        <w:t>15</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_Toc12299 </w:instrText>
      </w:r>
      <w:r>
        <w:rPr>
          <w:rFonts w:ascii="Times New Roman" w:hAnsi="Times New Roman"/>
          <w:szCs w:val="22"/>
        </w:rPr>
        <w:fldChar w:fldCharType="separate"/>
      </w:r>
      <w:r>
        <w:rPr>
          <w:rFonts w:hint="eastAsia" w:ascii="黑体" w:hAnsi="黑体" w:eastAsia="黑体"/>
        </w:rPr>
        <w:t>五、最短保留时间</w:t>
      </w:r>
      <w:r>
        <w:tab/>
      </w:r>
      <w:r>
        <w:fldChar w:fldCharType="begin"/>
      </w:r>
      <w:r>
        <w:instrText xml:space="preserve"> PAGEREF _Toc12299 \h </w:instrText>
      </w:r>
      <w:r>
        <w:fldChar w:fldCharType="separate"/>
      </w:r>
      <w:r>
        <w:t>15</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_Toc13623 </w:instrText>
      </w:r>
      <w:r>
        <w:rPr>
          <w:rFonts w:ascii="Times New Roman" w:hAnsi="Times New Roman"/>
          <w:szCs w:val="22"/>
        </w:rPr>
        <w:fldChar w:fldCharType="separate"/>
      </w:r>
      <w:r>
        <w:rPr>
          <w:rFonts w:hint="eastAsia" w:ascii="黑体" w:hAnsi="黑体" w:eastAsia="黑体"/>
        </w:rPr>
        <w:t>六、回应报价参与率</w:t>
      </w:r>
      <w:r>
        <w:tab/>
      </w:r>
      <w:r>
        <w:fldChar w:fldCharType="begin"/>
      </w:r>
      <w:r>
        <w:instrText xml:space="preserve"> PAGEREF _Toc13623 \h </w:instrText>
      </w:r>
      <w:r>
        <w:fldChar w:fldCharType="separate"/>
      </w:r>
      <w:r>
        <w:t>15</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_Toc7193 </w:instrText>
      </w:r>
      <w:r>
        <w:rPr>
          <w:rFonts w:ascii="Times New Roman" w:hAnsi="Times New Roman"/>
          <w:szCs w:val="22"/>
        </w:rPr>
        <w:fldChar w:fldCharType="separate"/>
      </w:r>
      <w:r>
        <w:rPr>
          <w:rFonts w:hint="eastAsia" w:ascii="黑体" w:hAnsi="黑体" w:eastAsia="黑体"/>
          <w:bCs/>
        </w:rPr>
        <w:t>第四章</w:t>
      </w:r>
      <w:r>
        <w:rPr>
          <w:rFonts w:ascii="黑体" w:hAnsi="黑体" w:eastAsia="黑体"/>
          <w:bCs/>
        </w:rPr>
        <w:t xml:space="preserve"> </w:t>
      </w:r>
      <w:r>
        <w:rPr>
          <w:rFonts w:hint="eastAsia" w:ascii="黑体" w:hAnsi="黑体" w:eastAsia="黑体"/>
          <w:bCs/>
        </w:rPr>
        <w:t>权利</w:t>
      </w:r>
      <w:r>
        <w:tab/>
      </w:r>
      <w:r>
        <w:fldChar w:fldCharType="begin"/>
      </w:r>
      <w:r>
        <w:instrText xml:space="preserve"> PAGEREF _Toc7193 \h </w:instrText>
      </w:r>
      <w:r>
        <w:fldChar w:fldCharType="separate"/>
      </w:r>
      <w:r>
        <w:t>16</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_Toc15222 </w:instrText>
      </w:r>
      <w:r>
        <w:rPr>
          <w:rFonts w:ascii="Times New Roman" w:hAnsi="Times New Roman"/>
          <w:szCs w:val="22"/>
        </w:rPr>
        <w:fldChar w:fldCharType="separate"/>
      </w:r>
      <w:r>
        <w:rPr>
          <w:rFonts w:hint="eastAsia" w:ascii="黑体" w:hAnsi="黑体" w:eastAsia="黑体"/>
        </w:rPr>
        <w:t>一、申请提高持仓限额</w:t>
      </w:r>
      <w:r>
        <w:tab/>
      </w:r>
      <w:r>
        <w:fldChar w:fldCharType="begin"/>
      </w:r>
      <w:r>
        <w:instrText xml:space="preserve"> PAGEREF _Toc15222 \h </w:instrText>
      </w:r>
      <w:r>
        <w:fldChar w:fldCharType="separate"/>
      </w:r>
      <w:r>
        <w:t>16</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_Toc31682 </w:instrText>
      </w:r>
      <w:r>
        <w:rPr>
          <w:rFonts w:ascii="Times New Roman" w:hAnsi="Times New Roman"/>
          <w:szCs w:val="22"/>
        </w:rPr>
        <w:fldChar w:fldCharType="separate"/>
      </w:r>
      <w:r>
        <w:rPr>
          <w:rFonts w:hint="eastAsia" w:ascii="黑体" w:hAnsi="黑体" w:eastAsia="黑体"/>
        </w:rPr>
        <w:t>二、报价义务豁免</w:t>
      </w:r>
      <w:r>
        <w:tab/>
      </w:r>
      <w:r>
        <w:fldChar w:fldCharType="begin"/>
      </w:r>
      <w:r>
        <w:instrText xml:space="preserve"> PAGEREF _Toc31682 \h </w:instrText>
      </w:r>
      <w:r>
        <w:fldChar w:fldCharType="separate"/>
      </w:r>
      <w:r>
        <w:t>16</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_Toc20578 </w:instrText>
      </w:r>
      <w:r>
        <w:rPr>
          <w:rFonts w:ascii="Times New Roman" w:hAnsi="Times New Roman"/>
          <w:szCs w:val="22"/>
        </w:rPr>
        <w:fldChar w:fldCharType="separate"/>
      </w:r>
      <w:r>
        <w:rPr>
          <w:rFonts w:hint="eastAsia" w:ascii="黑体" w:hAnsi="黑体" w:eastAsia="黑体"/>
          <w:bCs/>
        </w:rPr>
        <w:t>第五章</w:t>
      </w:r>
      <w:r>
        <w:rPr>
          <w:rFonts w:ascii="黑体" w:hAnsi="黑体" w:eastAsia="黑体"/>
          <w:bCs/>
        </w:rPr>
        <w:t xml:space="preserve"> </w:t>
      </w:r>
      <w:r>
        <w:rPr>
          <w:rFonts w:hint="eastAsia" w:ascii="黑体" w:hAnsi="黑体" w:eastAsia="黑体"/>
          <w:bCs/>
        </w:rPr>
        <w:t>评价</w:t>
      </w:r>
      <w:r>
        <w:tab/>
      </w:r>
      <w:r>
        <w:fldChar w:fldCharType="begin"/>
      </w:r>
      <w:r>
        <w:instrText xml:space="preserve"> PAGEREF _Toc20578 \h </w:instrText>
      </w:r>
      <w:r>
        <w:fldChar w:fldCharType="separate"/>
      </w:r>
      <w:r>
        <w:t>18</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_Toc32746 </w:instrText>
      </w:r>
      <w:r>
        <w:rPr>
          <w:rFonts w:ascii="Times New Roman" w:hAnsi="Times New Roman"/>
          <w:szCs w:val="22"/>
        </w:rPr>
        <w:fldChar w:fldCharType="separate"/>
      </w:r>
      <w:r>
        <w:rPr>
          <w:rFonts w:hint="eastAsia" w:ascii="黑体" w:hAnsi="黑体" w:eastAsia="黑体"/>
        </w:rPr>
        <w:t>一、评价指标</w:t>
      </w:r>
      <w:r>
        <w:tab/>
      </w:r>
      <w:r>
        <w:fldChar w:fldCharType="begin"/>
      </w:r>
      <w:r>
        <w:instrText xml:space="preserve"> PAGEREF _Toc32746 \h </w:instrText>
      </w:r>
      <w:r>
        <w:fldChar w:fldCharType="separate"/>
      </w:r>
      <w:r>
        <w:t>18</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_Toc24393 </w:instrText>
      </w:r>
      <w:r>
        <w:rPr>
          <w:rFonts w:ascii="Times New Roman" w:hAnsi="Times New Roman"/>
          <w:szCs w:val="22"/>
        </w:rPr>
        <w:fldChar w:fldCharType="separate"/>
      </w:r>
      <w:r>
        <w:rPr>
          <w:rFonts w:hint="eastAsia" w:ascii="黑体" w:hAnsi="黑体" w:eastAsia="黑体"/>
        </w:rPr>
        <w:t>二、评价方法</w:t>
      </w:r>
      <w:r>
        <w:tab/>
      </w:r>
      <w:r>
        <w:fldChar w:fldCharType="begin"/>
      </w:r>
      <w:r>
        <w:instrText xml:space="preserve"> PAGEREF _Toc24393 \h </w:instrText>
      </w:r>
      <w:r>
        <w:fldChar w:fldCharType="separate"/>
      </w:r>
      <w:r>
        <w:t>20</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_Toc21683 </w:instrText>
      </w:r>
      <w:r>
        <w:rPr>
          <w:rFonts w:ascii="Times New Roman" w:hAnsi="Times New Roman"/>
          <w:szCs w:val="22"/>
        </w:rPr>
        <w:fldChar w:fldCharType="separate"/>
      </w:r>
      <w:r>
        <w:rPr>
          <w:rFonts w:hint="eastAsia" w:ascii="黑体" w:hAnsi="黑体" w:eastAsia="黑体"/>
        </w:rPr>
        <w:t>三、评价调整</w:t>
      </w:r>
      <w:r>
        <w:tab/>
      </w:r>
      <w:r>
        <w:fldChar w:fldCharType="begin"/>
      </w:r>
      <w:r>
        <w:instrText xml:space="preserve"> PAGEREF _Toc21683 \h </w:instrText>
      </w:r>
      <w:r>
        <w:fldChar w:fldCharType="separate"/>
      </w:r>
      <w:r>
        <w:t>22</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_Toc24980 </w:instrText>
      </w:r>
      <w:r>
        <w:rPr>
          <w:rFonts w:ascii="Times New Roman" w:hAnsi="Times New Roman"/>
          <w:szCs w:val="22"/>
        </w:rPr>
        <w:fldChar w:fldCharType="separate"/>
      </w:r>
      <w:r>
        <w:rPr>
          <w:rFonts w:hint="eastAsia" w:ascii="黑体" w:hAnsi="黑体" w:eastAsia="黑体"/>
        </w:rPr>
        <w:t>四、交易费用减免和激励</w:t>
      </w:r>
      <w:r>
        <w:tab/>
      </w:r>
      <w:r>
        <w:fldChar w:fldCharType="begin"/>
      </w:r>
      <w:r>
        <w:instrText xml:space="preserve"> PAGEREF _Toc24980 \h </w:instrText>
      </w:r>
      <w:r>
        <w:fldChar w:fldCharType="separate"/>
      </w:r>
      <w:r>
        <w:t>22</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_Toc15495 </w:instrText>
      </w:r>
      <w:r>
        <w:rPr>
          <w:rFonts w:ascii="Times New Roman" w:hAnsi="Times New Roman"/>
          <w:szCs w:val="22"/>
        </w:rPr>
        <w:fldChar w:fldCharType="separate"/>
      </w:r>
      <w:r>
        <w:rPr>
          <w:rFonts w:hint="eastAsia" w:ascii="黑体" w:hAnsi="黑体" w:eastAsia="黑体"/>
          <w:bCs/>
        </w:rPr>
        <w:t>第六章</w:t>
      </w:r>
      <w:r>
        <w:rPr>
          <w:rFonts w:ascii="黑体" w:hAnsi="黑体" w:eastAsia="黑体"/>
          <w:bCs/>
        </w:rPr>
        <w:t xml:space="preserve"> </w:t>
      </w:r>
      <w:r>
        <w:rPr>
          <w:rFonts w:hint="eastAsia" w:ascii="黑体" w:hAnsi="黑体" w:eastAsia="黑体"/>
          <w:bCs/>
        </w:rPr>
        <w:t>风险管理</w:t>
      </w:r>
      <w:r>
        <w:tab/>
      </w:r>
      <w:r>
        <w:fldChar w:fldCharType="begin"/>
      </w:r>
      <w:r>
        <w:instrText xml:space="preserve"> PAGEREF _Toc15495 \h </w:instrText>
      </w:r>
      <w:r>
        <w:fldChar w:fldCharType="separate"/>
      </w:r>
      <w:r>
        <w:t>25</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_Toc3096 </w:instrText>
      </w:r>
      <w:r>
        <w:rPr>
          <w:rFonts w:ascii="Times New Roman" w:hAnsi="Times New Roman"/>
          <w:szCs w:val="22"/>
        </w:rPr>
        <w:fldChar w:fldCharType="separate"/>
      </w:r>
      <w:r>
        <w:rPr>
          <w:rFonts w:hint="eastAsia" w:ascii="黑体" w:hAnsi="黑体" w:eastAsia="黑体"/>
        </w:rPr>
        <w:t>一、做市业务部门的风险管理</w:t>
      </w:r>
      <w:r>
        <w:tab/>
      </w:r>
      <w:r>
        <w:fldChar w:fldCharType="begin"/>
      </w:r>
      <w:r>
        <w:instrText xml:space="preserve"> PAGEREF _Toc3096 \h </w:instrText>
      </w:r>
      <w:r>
        <w:fldChar w:fldCharType="separate"/>
      </w:r>
      <w:r>
        <w:t>25</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_Toc3226 </w:instrText>
      </w:r>
      <w:r>
        <w:rPr>
          <w:rFonts w:ascii="Times New Roman" w:hAnsi="Times New Roman"/>
          <w:szCs w:val="22"/>
        </w:rPr>
        <w:fldChar w:fldCharType="separate"/>
      </w:r>
      <w:r>
        <w:rPr>
          <w:rFonts w:hint="eastAsia" w:ascii="黑体" w:hAnsi="黑体" w:eastAsia="黑体"/>
        </w:rPr>
        <w:t>二、公司层面风险管理机制</w:t>
      </w:r>
      <w:r>
        <w:tab/>
      </w:r>
      <w:r>
        <w:fldChar w:fldCharType="begin"/>
      </w:r>
      <w:r>
        <w:instrText xml:space="preserve"> PAGEREF _Toc3226 \h </w:instrText>
      </w:r>
      <w:r>
        <w:fldChar w:fldCharType="separate"/>
      </w:r>
      <w:r>
        <w:t>26</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_Toc19495 </w:instrText>
      </w:r>
      <w:r>
        <w:rPr>
          <w:rFonts w:ascii="Times New Roman" w:hAnsi="Times New Roman"/>
          <w:szCs w:val="22"/>
        </w:rPr>
        <w:fldChar w:fldCharType="separate"/>
      </w:r>
      <w:r>
        <w:rPr>
          <w:rFonts w:hint="eastAsia" w:ascii="黑体" w:hAnsi="黑体" w:eastAsia="黑体"/>
          <w:bCs/>
        </w:rPr>
        <w:t>第七章</w:t>
      </w:r>
      <w:r>
        <w:rPr>
          <w:rFonts w:ascii="黑体" w:hAnsi="黑体" w:eastAsia="黑体"/>
          <w:bCs/>
        </w:rPr>
        <w:t xml:space="preserve"> </w:t>
      </w:r>
      <w:r>
        <w:rPr>
          <w:rFonts w:hint="eastAsia" w:ascii="黑体" w:hAnsi="黑体" w:eastAsia="黑体"/>
          <w:bCs/>
        </w:rPr>
        <w:t>合规和内部控制</w:t>
      </w:r>
      <w:r>
        <w:tab/>
      </w:r>
      <w:r>
        <w:fldChar w:fldCharType="begin"/>
      </w:r>
      <w:r>
        <w:instrText xml:space="preserve"> PAGEREF _Toc19495 \h </w:instrText>
      </w:r>
      <w:r>
        <w:fldChar w:fldCharType="separate"/>
      </w:r>
      <w:r>
        <w:t>28</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_Toc24115 </w:instrText>
      </w:r>
      <w:r>
        <w:rPr>
          <w:rFonts w:ascii="Times New Roman" w:hAnsi="Times New Roman"/>
          <w:szCs w:val="22"/>
        </w:rPr>
        <w:fldChar w:fldCharType="separate"/>
      </w:r>
      <w:r>
        <w:rPr>
          <w:rFonts w:hint="eastAsia" w:ascii="黑体" w:hAnsi="黑体" w:eastAsia="黑体"/>
        </w:rPr>
        <w:t>一、内部控制制度</w:t>
      </w:r>
      <w:r>
        <w:tab/>
      </w:r>
      <w:r>
        <w:fldChar w:fldCharType="begin"/>
      </w:r>
      <w:r>
        <w:instrText xml:space="preserve"> PAGEREF _Toc24115 \h </w:instrText>
      </w:r>
      <w:r>
        <w:fldChar w:fldCharType="separate"/>
      </w:r>
      <w:r>
        <w:t>28</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_Toc14885 </w:instrText>
      </w:r>
      <w:r>
        <w:rPr>
          <w:rFonts w:ascii="Times New Roman" w:hAnsi="Times New Roman"/>
          <w:szCs w:val="22"/>
        </w:rPr>
        <w:fldChar w:fldCharType="separate"/>
      </w:r>
      <w:r>
        <w:rPr>
          <w:rFonts w:hint="eastAsia" w:ascii="黑体" w:hAnsi="黑体" w:eastAsia="黑体"/>
        </w:rPr>
        <w:t>二、业务隔离制度</w:t>
      </w:r>
      <w:r>
        <w:tab/>
      </w:r>
      <w:r>
        <w:fldChar w:fldCharType="begin"/>
      </w:r>
      <w:r>
        <w:instrText xml:space="preserve"> PAGEREF _Toc14885 \h </w:instrText>
      </w:r>
      <w:r>
        <w:fldChar w:fldCharType="separate"/>
      </w:r>
      <w:r>
        <w:t>28</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_Toc9084 </w:instrText>
      </w:r>
      <w:r>
        <w:rPr>
          <w:rFonts w:ascii="Times New Roman" w:hAnsi="Times New Roman"/>
          <w:szCs w:val="22"/>
        </w:rPr>
        <w:fldChar w:fldCharType="separate"/>
      </w:r>
      <w:r>
        <w:rPr>
          <w:rFonts w:hint="eastAsia" w:ascii="黑体" w:hAnsi="黑体" w:eastAsia="黑体"/>
        </w:rPr>
        <w:t>三、禁止行为</w:t>
      </w:r>
      <w:r>
        <w:tab/>
      </w:r>
      <w:r>
        <w:fldChar w:fldCharType="begin"/>
      </w:r>
      <w:r>
        <w:instrText xml:space="preserve"> PAGEREF _Toc9084 \h </w:instrText>
      </w:r>
      <w:r>
        <w:fldChar w:fldCharType="separate"/>
      </w:r>
      <w:r>
        <w:t>29</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_Toc5534 </w:instrText>
      </w:r>
      <w:r>
        <w:rPr>
          <w:rFonts w:ascii="Times New Roman" w:hAnsi="Times New Roman"/>
          <w:szCs w:val="22"/>
        </w:rPr>
        <w:fldChar w:fldCharType="separate"/>
      </w:r>
      <w:r>
        <w:rPr>
          <w:rFonts w:hint="eastAsia" w:ascii="黑体" w:hAnsi="黑体" w:eastAsia="黑体"/>
          <w:bCs/>
        </w:rPr>
        <w:t>第八章</w:t>
      </w:r>
      <w:r>
        <w:rPr>
          <w:rFonts w:ascii="黑体" w:hAnsi="黑体" w:eastAsia="黑体"/>
          <w:bCs/>
        </w:rPr>
        <w:t xml:space="preserve"> </w:t>
      </w:r>
      <w:r>
        <w:rPr>
          <w:rFonts w:hint="eastAsia" w:ascii="黑体" w:hAnsi="黑体" w:eastAsia="黑体"/>
          <w:bCs/>
        </w:rPr>
        <w:t>技术系统</w:t>
      </w:r>
      <w:r>
        <w:tab/>
      </w:r>
      <w:r>
        <w:fldChar w:fldCharType="begin"/>
      </w:r>
      <w:r>
        <w:instrText xml:space="preserve"> PAGEREF _Toc5534 \h </w:instrText>
      </w:r>
      <w:r>
        <w:fldChar w:fldCharType="separate"/>
      </w:r>
      <w:r>
        <w:t>30</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_Toc947 </w:instrText>
      </w:r>
      <w:r>
        <w:rPr>
          <w:rFonts w:ascii="Times New Roman" w:hAnsi="Times New Roman"/>
          <w:szCs w:val="22"/>
        </w:rPr>
        <w:fldChar w:fldCharType="separate"/>
      </w:r>
      <w:r>
        <w:rPr>
          <w:rFonts w:hint="eastAsia" w:ascii="黑体" w:hAnsi="黑体" w:eastAsia="黑体"/>
        </w:rPr>
        <w:t>一、建设原则</w:t>
      </w:r>
      <w:r>
        <w:tab/>
      </w:r>
      <w:r>
        <w:fldChar w:fldCharType="begin"/>
      </w:r>
      <w:r>
        <w:instrText xml:space="preserve"> PAGEREF _Toc947 \h </w:instrText>
      </w:r>
      <w:r>
        <w:fldChar w:fldCharType="separate"/>
      </w:r>
      <w:r>
        <w:t>30</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_Toc16178 </w:instrText>
      </w:r>
      <w:r>
        <w:rPr>
          <w:rFonts w:ascii="Times New Roman" w:hAnsi="Times New Roman"/>
          <w:szCs w:val="22"/>
        </w:rPr>
        <w:fldChar w:fldCharType="separate"/>
      </w:r>
      <w:r>
        <w:rPr>
          <w:rFonts w:hint="eastAsia" w:ascii="黑体" w:hAnsi="黑体" w:eastAsia="黑体"/>
        </w:rPr>
        <w:t>二、系统建设</w:t>
      </w:r>
      <w:r>
        <w:tab/>
      </w:r>
      <w:r>
        <w:fldChar w:fldCharType="begin"/>
      </w:r>
      <w:r>
        <w:instrText xml:space="preserve"> PAGEREF _Toc16178 \h </w:instrText>
      </w:r>
      <w:r>
        <w:fldChar w:fldCharType="separate"/>
      </w:r>
      <w:r>
        <w:t>30</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_Toc16873 </w:instrText>
      </w:r>
      <w:r>
        <w:rPr>
          <w:rFonts w:ascii="Times New Roman" w:hAnsi="Times New Roman"/>
          <w:szCs w:val="22"/>
        </w:rPr>
        <w:fldChar w:fldCharType="separate"/>
      </w:r>
      <w:r>
        <w:rPr>
          <w:rFonts w:hint="eastAsia" w:ascii="黑体" w:hAnsi="黑体" w:eastAsia="黑体"/>
        </w:rPr>
        <w:t>三、运维部署要求</w:t>
      </w:r>
      <w:r>
        <w:tab/>
      </w:r>
      <w:r>
        <w:fldChar w:fldCharType="begin"/>
      </w:r>
      <w:r>
        <w:instrText xml:space="preserve"> PAGEREF _Toc16873 \h </w:instrText>
      </w:r>
      <w:r>
        <w:fldChar w:fldCharType="separate"/>
      </w:r>
      <w:r>
        <w:t>32</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_Toc1755 </w:instrText>
      </w:r>
      <w:r>
        <w:rPr>
          <w:rFonts w:ascii="Times New Roman" w:hAnsi="Times New Roman"/>
          <w:szCs w:val="22"/>
        </w:rPr>
        <w:fldChar w:fldCharType="separate"/>
      </w:r>
      <w:r>
        <w:rPr>
          <w:rFonts w:hint="eastAsia" w:ascii="黑体" w:hAnsi="黑体" w:eastAsia="黑体"/>
          <w:bCs/>
        </w:rPr>
        <w:t>第九章</w:t>
      </w:r>
      <w:r>
        <w:rPr>
          <w:rFonts w:ascii="黑体" w:hAnsi="黑体" w:eastAsia="黑体"/>
          <w:bCs/>
        </w:rPr>
        <w:t xml:space="preserve"> </w:t>
      </w:r>
      <w:r>
        <w:rPr>
          <w:rFonts w:hint="eastAsia" w:ascii="黑体" w:hAnsi="黑体" w:eastAsia="黑体"/>
          <w:bCs/>
        </w:rPr>
        <w:t>监督管理</w:t>
      </w:r>
      <w:r>
        <w:tab/>
      </w:r>
      <w:r>
        <w:fldChar w:fldCharType="begin"/>
      </w:r>
      <w:r>
        <w:instrText xml:space="preserve"> PAGEREF _Toc1755 \h </w:instrText>
      </w:r>
      <w:r>
        <w:fldChar w:fldCharType="separate"/>
      </w:r>
      <w:r>
        <w:t>33</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_Toc19123 </w:instrText>
      </w:r>
      <w:r>
        <w:rPr>
          <w:rFonts w:ascii="Times New Roman" w:hAnsi="Times New Roman"/>
          <w:szCs w:val="22"/>
        </w:rPr>
        <w:fldChar w:fldCharType="separate"/>
      </w:r>
      <w:r>
        <w:rPr>
          <w:rFonts w:hint="eastAsia" w:ascii="黑体" w:hAnsi="黑体" w:eastAsia="黑体"/>
        </w:rPr>
        <w:t>一、调整或取消特定合约品种做市资格</w:t>
      </w:r>
      <w:r>
        <w:tab/>
      </w:r>
      <w:r>
        <w:fldChar w:fldCharType="begin"/>
      </w:r>
      <w:r>
        <w:instrText xml:space="preserve"> PAGEREF _Toc19123 \h </w:instrText>
      </w:r>
      <w:r>
        <w:fldChar w:fldCharType="separate"/>
      </w:r>
      <w:r>
        <w:t>33</w:t>
      </w:r>
      <w:r>
        <w:fldChar w:fldCharType="end"/>
      </w:r>
      <w:r>
        <w:rPr>
          <w:rFonts w:ascii="Times New Roman" w:hAnsi="Times New Roman"/>
          <w:szCs w:val="22"/>
        </w:rPr>
        <w:fldChar w:fldCharType="end"/>
      </w:r>
    </w:p>
    <w:p>
      <w:pPr>
        <w:pStyle w:val="25"/>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_Toc6480 </w:instrText>
      </w:r>
      <w:r>
        <w:rPr>
          <w:rFonts w:ascii="Times New Roman" w:hAnsi="Times New Roman"/>
          <w:szCs w:val="22"/>
        </w:rPr>
        <w:fldChar w:fldCharType="separate"/>
      </w:r>
      <w:r>
        <w:rPr>
          <w:rFonts w:hint="eastAsia" w:ascii="黑体" w:hAnsi="黑体" w:eastAsia="黑体"/>
        </w:rPr>
        <w:t>二、取消全部合约品种做市资格</w:t>
      </w:r>
      <w:r>
        <w:tab/>
      </w:r>
      <w:r>
        <w:fldChar w:fldCharType="begin"/>
      </w:r>
      <w:r>
        <w:instrText xml:space="preserve"> PAGEREF _Toc6480 \h </w:instrText>
      </w:r>
      <w:r>
        <w:fldChar w:fldCharType="separate"/>
      </w:r>
      <w:r>
        <w:t>33</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_Toc10367 </w:instrText>
      </w:r>
      <w:r>
        <w:rPr>
          <w:rFonts w:ascii="Times New Roman" w:hAnsi="Times New Roman"/>
          <w:szCs w:val="22"/>
        </w:rPr>
        <w:fldChar w:fldCharType="separate"/>
      </w:r>
      <w:r>
        <w:rPr>
          <w:rFonts w:hint="eastAsia" w:ascii="黑体" w:hAnsi="黑体" w:eastAsia="黑体"/>
          <w:bCs/>
        </w:rPr>
        <w:t>附件1</w:t>
      </w:r>
      <w:r>
        <w:rPr>
          <w:rFonts w:hint="eastAsia" w:ascii="仿宋" w:hAnsi="仿宋" w:eastAsia="仿宋"/>
          <w:bCs/>
        </w:rPr>
        <w:t>：股票期权做市业务准备情况专项检查工作底稿</w:t>
      </w:r>
      <w:r>
        <w:tab/>
      </w:r>
      <w:r>
        <w:fldChar w:fldCharType="begin"/>
      </w:r>
      <w:r>
        <w:instrText xml:space="preserve"> PAGEREF _Toc10367 \h </w:instrText>
      </w:r>
      <w:r>
        <w:fldChar w:fldCharType="separate"/>
      </w:r>
      <w:r>
        <w:t>35</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_Toc28051 </w:instrText>
      </w:r>
      <w:r>
        <w:rPr>
          <w:rFonts w:ascii="Times New Roman" w:hAnsi="Times New Roman"/>
          <w:szCs w:val="22"/>
        </w:rPr>
        <w:fldChar w:fldCharType="separate"/>
      </w:r>
      <w:r>
        <w:rPr>
          <w:rFonts w:hint="eastAsia" w:ascii="黑体" w:hAnsi="黑体" w:eastAsia="黑体"/>
          <w:bCs/>
        </w:rPr>
        <w:t>附件2</w:t>
      </w:r>
      <w:r>
        <w:rPr>
          <w:rFonts w:hint="eastAsia" w:ascii="仿宋" w:hAnsi="仿宋" w:eastAsia="仿宋"/>
          <w:bCs/>
        </w:rPr>
        <w:t>：做市业务实施方案与管理制度必备参考要点</w:t>
      </w:r>
      <w:r>
        <w:tab/>
      </w:r>
      <w:r>
        <w:fldChar w:fldCharType="begin"/>
      </w:r>
      <w:r>
        <w:instrText xml:space="preserve"> PAGEREF _Toc28051 \h </w:instrText>
      </w:r>
      <w:r>
        <w:fldChar w:fldCharType="separate"/>
      </w:r>
      <w:r>
        <w:t>40</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_Toc23397 </w:instrText>
      </w:r>
      <w:r>
        <w:rPr>
          <w:rFonts w:ascii="Times New Roman" w:hAnsi="Times New Roman"/>
          <w:szCs w:val="22"/>
        </w:rPr>
        <w:fldChar w:fldCharType="separate"/>
      </w:r>
      <w:r>
        <w:rPr>
          <w:rFonts w:hint="eastAsia" w:ascii="黑体" w:hAnsi="黑体" w:eastAsia="黑体"/>
          <w:bCs/>
        </w:rPr>
        <w:t>附件3</w:t>
      </w:r>
      <w:r>
        <w:rPr>
          <w:rFonts w:hint="eastAsia" w:ascii="仿宋" w:hAnsi="仿宋" w:eastAsia="仿宋"/>
          <w:bCs/>
        </w:rPr>
        <w:t>：做市业务人员情况表</w:t>
      </w:r>
      <w:r>
        <w:tab/>
      </w:r>
      <w:r>
        <w:fldChar w:fldCharType="begin"/>
      </w:r>
      <w:r>
        <w:instrText xml:space="preserve"> PAGEREF _Toc23397 \h </w:instrText>
      </w:r>
      <w:r>
        <w:fldChar w:fldCharType="separate"/>
      </w:r>
      <w:r>
        <w:t>42</w:t>
      </w:r>
      <w:r>
        <w:fldChar w:fldCharType="end"/>
      </w:r>
      <w:r>
        <w:rPr>
          <w:rFonts w:ascii="Times New Roman" w:hAnsi="Times New Roman"/>
          <w:szCs w:val="22"/>
        </w:rPr>
        <w:fldChar w:fldCharType="end"/>
      </w:r>
    </w:p>
    <w:p>
      <w:pPr>
        <w:pStyle w:val="21"/>
        <w:tabs>
          <w:tab w:val="right" w:leader="dot" w:pos="8617"/>
          <w:tab w:val="clear" w:pos="8296"/>
        </w:tabs>
      </w:pPr>
      <w:r>
        <w:rPr>
          <w:rFonts w:ascii="Times New Roman" w:hAnsi="Times New Roman"/>
          <w:szCs w:val="22"/>
        </w:rPr>
        <w:fldChar w:fldCharType="begin"/>
      </w:r>
      <w:r>
        <w:rPr>
          <w:rFonts w:ascii="Times New Roman" w:hAnsi="Times New Roman"/>
          <w:szCs w:val="22"/>
        </w:rPr>
        <w:instrText xml:space="preserve"> HYPERLINK \l _Toc23538 </w:instrText>
      </w:r>
      <w:r>
        <w:rPr>
          <w:rFonts w:ascii="Times New Roman" w:hAnsi="Times New Roman"/>
          <w:szCs w:val="22"/>
        </w:rPr>
        <w:fldChar w:fldCharType="separate"/>
      </w:r>
      <w:r>
        <w:rPr>
          <w:rFonts w:hint="eastAsia" w:ascii="黑体" w:hAnsi="黑体" w:eastAsia="黑体"/>
          <w:bCs/>
          <w:szCs w:val="32"/>
        </w:rPr>
        <w:t>附件4</w:t>
      </w:r>
      <w:r>
        <w:rPr>
          <w:rFonts w:hint="eastAsia" w:ascii="仿宋" w:hAnsi="仿宋" w:eastAsia="仿宋"/>
          <w:bCs/>
          <w:szCs w:val="32"/>
        </w:rPr>
        <w:t>：深圳证券交易所股票期权做市协议</w:t>
      </w:r>
      <w:r>
        <w:tab/>
      </w:r>
      <w:r>
        <w:fldChar w:fldCharType="begin"/>
      </w:r>
      <w:r>
        <w:instrText xml:space="preserve"> PAGEREF _Toc23538 \h </w:instrText>
      </w:r>
      <w:r>
        <w:fldChar w:fldCharType="separate"/>
      </w:r>
      <w:r>
        <w:t>43</w:t>
      </w:r>
      <w:r>
        <w:fldChar w:fldCharType="end"/>
      </w:r>
      <w:r>
        <w:rPr>
          <w:rFonts w:ascii="Times New Roman" w:hAnsi="Times New Roman"/>
          <w:szCs w:val="22"/>
        </w:rPr>
        <w:fldChar w:fldCharType="end"/>
      </w:r>
    </w:p>
    <w:p>
      <w:pPr>
        <w:ind w:firstLine="0" w:firstLineChars="0"/>
        <w:rPr>
          <w:rFonts w:ascii="仿宋" w:hAnsi="仿宋"/>
          <w:sz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88" w:bottom="1985" w:left="1701" w:header="851" w:footer="992" w:gutter="0"/>
          <w:pgNumType w:start="1"/>
          <w:cols w:space="425" w:num="1"/>
          <w:docGrid w:type="lines" w:linePitch="408" w:charSpace="0"/>
        </w:sectPr>
      </w:pPr>
      <w:r>
        <w:rPr>
          <w:rFonts w:ascii="Times New Roman" w:hAnsi="Times New Roman"/>
          <w:sz w:val="22"/>
          <w:szCs w:val="22"/>
        </w:rPr>
        <w:fldChar w:fldCharType="end"/>
      </w:r>
      <w:bookmarkStart w:id="0" w:name="_Toc391559957"/>
    </w:p>
    <w:p>
      <w:pPr>
        <w:ind w:firstLine="0" w:firstLineChars="0"/>
        <w:rPr>
          <w:sz w:val="32"/>
        </w:rPr>
      </w:pPr>
    </w:p>
    <w:p>
      <w:pPr>
        <w:pStyle w:val="3"/>
        <w:spacing w:before="204" w:beforeLines="50" w:after="204" w:afterLines="50"/>
        <w:ind w:firstLine="0" w:firstLineChars="0"/>
        <w:jc w:val="center"/>
        <w:outlineLvl w:val="0"/>
        <w:rPr>
          <w:rFonts w:ascii="方正小标宋简体" w:hAnsi="黑体" w:eastAsia="方正小标宋简体"/>
          <w:bCs/>
          <w:sz w:val="44"/>
          <w:szCs w:val="44"/>
        </w:rPr>
      </w:pPr>
      <w:bookmarkStart w:id="1" w:name="_Toc4496"/>
      <w:bookmarkStart w:id="2" w:name="_Toc67332287"/>
      <w:bookmarkStart w:id="3" w:name="_Toc3495"/>
      <w:r>
        <w:rPr>
          <w:rFonts w:hint="eastAsia" w:ascii="方正小标宋简体" w:hAnsi="黑体" w:eastAsia="方正小标宋简体"/>
          <w:bCs/>
          <w:sz w:val="44"/>
          <w:szCs w:val="44"/>
        </w:rPr>
        <w:t>说明及声明</w:t>
      </w:r>
      <w:bookmarkEnd w:id="1"/>
      <w:bookmarkEnd w:id="2"/>
      <w:bookmarkEnd w:id="3"/>
    </w:p>
    <w:p>
      <w:pPr>
        <w:ind w:firstLine="640"/>
        <w:rPr>
          <w:sz w:val="32"/>
        </w:rPr>
      </w:pPr>
    </w:p>
    <w:p>
      <w:pPr>
        <w:overflowPunct w:val="0"/>
        <w:spacing w:line="560" w:lineRule="exact"/>
        <w:ind w:firstLine="640"/>
        <w:rPr>
          <w:rFonts w:ascii="仿宋" w:hAnsi="仿宋" w:eastAsia="仿宋"/>
          <w:sz w:val="32"/>
        </w:rPr>
      </w:pPr>
      <w:r>
        <w:rPr>
          <w:rFonts w:hint="eastAsia" w:ascii="仿宋" w:hAnsi="仿宋" w:eastAsia="仿宋"/>
          <w:sz w:val="32"/>
        </w:rPr>
        <w:t>为便于股票期权做市商规范开展深圳证券交易所（以下简称本所）股票期权做市业务，本所根据《股票期权交易试点管理办法》、《深圳证券交易所股票期权试点交易规则》、《深圳证券交易所股票期权试点做市商业务指引》（以下简称《指引》）制定本指南，供股票期权做市商参考。本指南内容如与股票期权业务规则不一致，以股票期权业务规则为准。</w:t>
      </w:r>
    </w:p>
    <w:p>
      <w:pPr>
        <w:overflowPunct w:val="0"/>
        <w:spacing w:line="560" w:lineRule="exact"/>
        <w:ind w:firstLine="640"/>
        <w:rPr>
          <w:rFonts w:ascii="仿宋" w:hAnsi="仿宋" w:eastAsia="仿宋"/>
          <w:sz w:val="32"/>
        </w:rPr>
      </w:pPr>
      <w:r>
        <w:rPr>
          <w:rFonts w:hint="eastAsia" w:ascii="仿宋" w:hAnsi="仿宋" w:eastAsia="仿宋"/>
          <w:sz w:val="32"/>
        </w:rPr>
        <w:t>本所将根据股票期权业务的进展情况，对本指南进行更新和调整。</w:t>
      </w:r>
    </w:p>
    <w:bookmarkEnd w:id="0"/>
    <w:p>
      <w:pPr>
        <w:widowControl/>
        <w:ind w:firstLine="0" w:firstLineChars="0"/>
        <w:jc w:val="left"/>
        <w:rPr>
          <w:rFonts w:ascii="黑体" w:hAnsi="黑体" w:eastAsia="黑体"/>
          <w:bCs/>
          <w:sz w:val="32"/>
        </w:rPr>
      </w:pPr>
      <w:bookmarkStart w:id="4" w:name="_Toc422331047"/>
      <w:r>
        <w:rPr>
          <w:rFonts w:ascii="黑体" w:hAnsi="黑体" w:eastAsia="黑体"/>
          <w:bCs/>
          <w:sz w:val="32"/>
        </w:rPr>
        <w:br w:type="page"/>
      </w:r>
    </w:p>
    <w:p>
      <w:pPr>
        <w:pStyle w:val="3"/>
        <w:spacing w:before="204" w:beforeLines="50" w:after="204" w:afterLines="50" w:line="560" w:lineRule="exact"/>
        <w:ind w:firstLine="0" w:firstLineChars="0"/>
        <w:jc w:val="center"/>
        <w:outlineLvl w:val="0"/>
        <w:rPr>
          <w:rFonts w:ascii="黑体" w:hAnsi="黑体" w:eastAsia="黑体"/>
          <w:bCs/>
          <w:sz w:val="32"/>
        </w:rPr>
      </w:pPr>
      <w:bookmarkStart w:id="5" w:name="_Toc23614"/>
      <w:bookmarkStart w:id="6" w:name="_Toc32031"/>
      <w:bookmarkStart w:id="7" w:name="_Toc67332288"/>
      <w:r>
        <w:rPr>
          <w:rFonts w:hint="eastAsia" w:ascii="黑体" w:hAnsi="黑体" w:eastAsia="黑体"/>
          <w:bCs/>
          <w:sz w:val="32"/>
        </w:rPr>
        <w:t>第一章</w:t>
      </w:r>
      <w:r>
        <w:rPr>
          <w:rFonts w:ascii="黑体" w:hAnsi="黑体" w:eastAsia="黑体"/>
          <w:bCs/>
          <w:sz w:val="32"/>
        </w:rPr>
        <w:t xml:space="preserve"> </w:t>
      </w:r>
      <w:r>
        <w:rPr>
          <w:rFonts w:hint="eastAsia" w:ascii="黑体" w:hAnsi="黑体" w:eastAsia="黑体"/>
          <w:bCs/>
          <w:sz w:val="32"/>
        </w:rPr>
        <w:t>总体要求</w:t>
      </w:r>
      <w:bookmarkEnd w:id="4"/>
      <w:bookmarkEnd w:id="5"/>
      <w:bookmarkEnd w:id="6"/>
      <w:bookmarkEnd w:id="7"/>
    </w:p>
    <w:p>
      <w:pPr>
        <w:pStyle w:val="4"/>
        <w:spacing w:before="0" w:line="560" w:lineRule="exact"/>
        <w:ind w:firstLine="640"/>
        <w:rPr>
          <w:rFonts w:ascii="黑体" w:hAnsi="黑体" w:eastAsia="黑体"/>
          <w:b w:val="0"/>
          <w:sz w:val="32"/>
        </w:rPr>
      </w:pPr>
      <w:bookmarkStart w:id="8" w:name="_Toc67332289"/>
      <w:bookmarkStart w:id="9" w:name="_Toc876"/>
      <w:bookmarkStart w:id="10" w:name="_Toc20367"/>
      <w:r>
        <w:rPr>
          <w:rFonts w:hint="eastAsia" w:ascii="黑体" w:hAnsi="黑体" w:eastAsia="黑体"/>
          <w:b w:val="0"/>
          <w:sz w:val="32"/>
        </w:rPr>
        <w:t>一、概述</w:t>
      </w:r>
      <w:bookmarkEnd w:id="8"/>
      <w:bookmarkEnd w:id="9"/>
      <w:bookmarkEnd w:id="10"/>
    </w:p>
    <w:p>
      <w:pPr>
        <w:adjustRightInd w:val="0"/>
        <w:snapToGrid w:val="0"/>
        <w:spacing w:line="560" w:lineRule="exact"/>
        <w:ind w:firstLine="640"/>
        <w:rPr>
          <w:rFonts w:ascii="仿宋" w:hAnsi="仿宋" w:eastAsia="仿宋"/>
          <w:sz w:val="32"/>
        </w:rPr>
      </w:pPr>
      <w:r>
        <w:rPr>
          <w:rFonts w:hint="eastAsia" w:ascii="仿宋" w:hAnsi="仿宋" w:eastAsia="仿宋"/>
          <w:sz w:val="32"/>
        </w:rPr>
        <w:t>本所采用竞争性做市商制度。期权做市商（以下简称做市商），是指按照《指引》的规定和要求，为本所挂牌交易的期权合约提供流动性服务的期权经营机构或者本所认可的其他专业机构。</w:t>
      </w:r>
    </w:p>
    <w:p>
      <w:pPr>
        <w:adjustRightInd w:val="0"/>
        <w:snapToGrid w:val="0"/>
        <w:spacing w:line="560" w:lineRule="exact"/>
        <w:ind w:firstLine="640"/>
        <w:rPr>
          <w:rFonts w:ascii="仿宋" w:hAnsi="仿宋" w:eastAsia="仿宋"/>
          <w:sz w:val="32"/>
        </w:rPr>
      </w:pPr>
      <w:r>
        <w:rPr>
          <w:rFonts w:hint="eastAsia" w:ascii="仿宋" w:hAnsi="仿宋" w:eastAsia="仿宋"/>
          <w:sz w:val="32"/>
        </w:rPr>
        <w:t>本指南所称的期权合约流动性服务（以下简称做市服务），包括下列类型：</w:t>
      </w:r>
    </w:p>
    <w:p>
      <w:pPr>
        <w:adjustRightInd w:val="0"/>
        <w:snapToGrid w:val="0"/>
        <w:spacing w:line="560" w:lineRule="exact"/>
        <w:ind w:firstLine="640"/>
        <w:rPr>
          <w:rFonts w:ascii="仿宋" w:hAnsi="仿宋" w:eastAsia="仿宋"/>
          <w:sz w:val="32"/>
        </w:rPr>
      </w:pPr>
      <w:r>
        <w:rPr>
          <w:rFonts w:hint="eastAsia" w:ascii="仿宋" w:hAnsi="仿宋" w:eastAsia="仿宋"/>
          <w:sz w:val="32"/>
        </w:rPr>
        <w:t>（一）向投资者提供双边持续报价；</w:t>
      </w:r>
    </w:p>
    <w:p>
      <w:pPr>
        <w:adjustRightInd w:val="0"/>
        <w:snapToGrid w:val="0"/>
        <w:spacing w:line="560" w:lineRule="exact"/>
        <w:ind w:firstLine="640"/>
        <w:rPr>
          <w:rFonts w:ascii="仿宋" w:hAnsi="仿宋" w:eastAsia="仿宋"/>
          <w:sz w:val="32"/>
        </w:rPr>
      </w:pPr>
      <w:r>
        <w:rPr>
          <w:rFonts w:hint="eastAsia" w:ascii="仿宋" w:hAnsi="仿宋" w:eastAsia="仿宋"/>
          <w:sz w:val="32"/>
        </w:rPr>
        <w:t>（二）对投资者询价提供双边回应报价；</w:t>
      </w:r>
      <w:r>
        <w:rPr>
          <w:rFonts w:ascii="仿宋" w:hAnsi="仿宋" w:eastAsia="仿宋"/>
          <w:sz w:val="32"/>
        </w:rPr>
        <w:t xml:space="preserve"> </w:t>
      </w:r>
    </w:p>
    <w:p>
      <w:pPr>
        <w:adjustRightInd w:val="0"/>
        <w:snapToGrid w:val="0"/>
        <w:spacing w:line="560" w:lineRule="exact"/>
        <w:ind w:firstLine="640"/>
        <w:rPr>
          <w:rFonts w:ascii="仿宋" w:hAnsi="仿宋" w:eastAsia="仿宋"/>
          <w:sz w:val="32"/>
        </w:rPr>
      </w:pPr>
      <w:r>
        <w:rPr>
          <w:rFonts w:hint="eastAsia" w:ascii="仿宋" w:hAnsi="仿宋" w:eastAsia="仿宋"/>
          <w:sz w:val="32"/>
        </w:rPr>
        <w:t>（三）本所规定或者做市协议约定的其他业务。</w:t>
      </w:r>
    </w:p>
    <w:p>
      <w:pPr>
        <w:adjustRightInd w:val="0"/>
        <w:snapToGrid w:val="0"/>
        <w:spacing w:line="560" w:lineRule="exact"/>
        <w:ind w:firstLine="640"/>
        <w:rPr>
          <w:rFonts w:ascii="仿宋" w:hAnsi="仿宋" w:eastAsia="仿宋"/>
          <w:sz w:val="32"/>
        </w:rPr>
      </w:pPr>
      <w:r>
        <w:rPr>
          <w:rFonts w:hint="eastAsia" w:ascii="仿宋" w:hAnsi="仿宋" w:eastAsia="仿宋"/>
          <w:sz w:val="32"/>
        </w:rPr>
        <w:t>做市商分为主做市商和一般做市商。主做市商应提供前款规定的全部做市服务，一般做市商应提供前款第（二）（三）项规定的做市服务。</w:t>
      </w:r>
    </w:p>
    <w:p>
      <w:pPr>
        <w:pStyle w:val="4"/>
        <w:spacing w:before="0" w:line="560" w:lineRule="exact"/>
        <w:ind w:firstLine="640"/>
        <w:rPr>
          <w:rFonts w:ascii="黑体" w:hAnsi="黑体" w:eastAsia="黑体"/>
          <w:b w:val="0"/>
          <w:sz w:val="32"/>
        </w:rPr>
      </w:pPr>
      <w:bookmarkStart w:id="11" w:name="_Toc67332290"/>
      <w:bookmarkStart w:id="12" w:name="_Toc31495"/>
      <w:bookmarkStart w:id="13" w:name="_Toc28427"/>
      <w:r>
        <w:rPr>
          <w:rFonts w:hint="eastAsia" w:ascii="黑体" w:hAnsi="黑体" w:eastAsia="黑体"/>
          <w:b w:val="0"/>
          <w:sz w:val="32"/>
        </w:rPr>
        <w:t>二、组织架构与岗位设置</w:t>
      </w:r>
      <w:bookmarkEnd w:id="11"/>
      <w:bookmarkEnd w:id="12"/>
      <w:bookmarkEnd w:id="13"/>
    </w:p>
    <w:p>
      <w:pPr>
        <w:adjustRightInd w:val="0"/>
        <w:snapToGrid w:val="0"/>
        <w:spacing w:line="560" w:lineRule="exact"/>
        <w:ind w:firstLine="640"/>
        <w:rPr>
          <w:rFonts w:ascii="仿宋" w:hAnsi="仿宋" w:eastAsia="仿宋"/>
          <w:sz w:val="32"/>
        </w:rPr>
      </w:pPr>
      <w:r>
        <w:rPr>
          <w:rFonts w:hint="eastAsia" w:ascii="仿宋" w:hAnsi="仿宋" w:eastAsia="仿宋"/>
          <w:sz w:val="32"/>
        </w:rPr>
        <w:t>做市商需指定专门的业务部门作为做市业务负责部门（以下简称做市业务部门），负责制定具体的做市业务方案并组织实施。</w:t>
      </w:r>
    </w:p>
    <w:p>
      <w:pPr>
        <w:adjustRightInd w:val="0"/>
        <w:snapToGrid w:val="0"/>
        <w:spacing w:line="560" w:lineRule="exact"/>
        <w:ind w:firstLine="640"/>
        <w:rPr>
          <w:rFonts w:ascii="仿宋" w:hAnsi="仿宋" w:eastAsia="仿宋"/>
          <w:sz w:val="32"/>
        </w:rPr>
      </w:pPr>
      <w:r>
        <w:rPr>
          <w:rFonts w:hint="eastAsia" w:ascii="仿宋" w:hAnsi="仿宋" w:eastAsia="仿宋"/>
          <w:sz w:val="32"/>
        </w:rPr>
        <w:t>做市商需配置专门的期权做市业务团队开展做市业务，不得把做市业务外包，或交由第三方机构开展。</w:t>
      </w:r>
    </w:p>
    <w:p>
      <w:pPr>
        <w:adjustRightInd w:val="0"/>
        <w:snapToGrid w:val="0"/>
        <w:spacing w:line="560" w:lineRule="exact"/>
        <w:ind w:firstLine="640"/>
        <w:rPr>
          <w:rFonts w:ascii="仿宋" w:hAnsi="仿宋" w:eastAsia="仿宋"/>
          <w:sz w:val="32"/>
        </w:rPr>
      </w:pPr>
      <w:r>
        <w:rPr>
          <w:rFonts w:hint="eastAsia" w:ascii="仿宋" w:hAnsi="仿宋" w:eastAsia="仿宋"/>
          <w:sz w:val="32"/>
        </w:rPr>
        <w:t>做市商开展期权做市业务需设立交易、风险控制、技术运维等岗位，并建立备岗机制。交易岗应安排专人专职负责，不得由自营或其他期权业务线人员兼任。</w:t>
      </w:r>
    </w:p>
    <w:p>
      <w:pPr>
        <w:adjustRightInd w:val="0"/>
        <w:snapToGrid w:val="0"/>
        <w:spacing w:line="560" w:lineRule="exact"/>
        <w:ind w:firstLine="640"/>
        <w:rPr>
          <w:rFonts w:ascii="仿宋" w:hAnsi="仿宋" w:eastAsia="仿宋"/>
          <w:sz w:val="32"/>
        </w:rPr>
      </w:pPr>
      <w:r>
        <w:rPr>
          <w:rFonts w:hint="eastAsia" w:ascii="仿宋" w:hAnsi="仿宋" w:eastAsia="仿宋"/>
          <w:sz w:val="32"/>
        </w:rPr>
        <w:t>期权做市业务涉及风控、合规、清算、信息技术等多个业务和功能支持部门。上述支持部门需设立专门的岗位并建立备岗机制，负责与期权做市业务相关的工作，内容包括但不限于期权做市业务风险管理、内控与合规管理、清算、资金管理、技术支持等。</w:t>
      </w:r>
    </w:p>
    <w:p>
      <w:pPr>
        <w:adjustRightInd w:val="0"/>
        <w:snapToGrid w:val="0"/>
        <w:spacing w:line="560" w:lineRule="exact"/>
        <w:ind w:firstLine="640"/>
        <w:rPr>
          <w:rFonts w:ascii="仿宋" w:hAnsi="仿宋" w:eastAsia="仿宋"/>
          <w:sz w:val="32"/>
        </w:rPr>
      </w:pPr>
      <w:r>
        <w:rPr>
          <w:rFonts w:hint="eastAsia" w:ascii="仿宋" w:hAnsi="仿宋" w:eastAsia="仿宋"/>
          <w:sz w:val="32"/>
        </w:rPr>
        <w:t>做市业务应和经纪、自营、资产管理等业务进行有效隔离，防止敏感信息的不当流动和使用。</w:t>
      </w:r>
    </w:p>
    <w:p>
      <w:pPr>
        <w:pStyle w:val="4"/>
        <w:spacing w:before="0" w:line="560" w:lineRule="exact"/>
        <w:ind w:firstLine="640"/>
        <w:rPr>
          <w:rFonts w:ascii="黑体" w:hAnsi="黑体" w:eastAsia="黑体"/>
          <w:b w:val="0"/>
          <w:sz w:val="32"/>
        </w:rPr>
      </w:pPr>
      <w:bookmarkStart w:id="14" w:name="_Toc8252"/>
      <w:bookmarkStart w:id="15" w:name="_Toc67332291"/>
      <w:bookmarkStart w:id="16" w:name="_Toc1125"/>
      <w:r>
        <w:rPr>
          <w:rFonts w:hint="eastAsia" w:ascii="黑体" w:hAnsi="黑体" w:eastAsia="黑体"/>
          <w:b w:val="0"/>
          <w:sz w:val="32"/>
        </w:rPr>
        <w:t>三、制度与流程</w:t>
      </w:r>
      <w:bookmarkEnd w:id="14"/>
      <w:bookmarkEnd w:id="15"/>
      <w:bookmarkEnd w:id="16"/>
    </w:p>
    <w:p>
      <w:pPr>
        <w:adjustRightInd w:val="0"/>
        <w:snapToGrid w:val="0"/>
        <w:spacing w:line="560" w:lineRule="exact"/>
        <w:ind w:firstLine="640"/>
        <w:rPr>
          <w:rFonts w:ascii="仿宋" w:hAnsi="仿宋" w:eastAsia="仿宋"/>
          <w:sz w:val="32"/>
        </w:rPr>
      </w:pPr>
      <w:r>
        <w:rPr>
          <w:rFonts w:hint="eastAsia" w:ascii="仿宋" w:hAnsi="仿宋" w:eastAsia="仿宋"/>
          <w:sz w:val="32"/>
        </w:rPr>
        <w:t>做市商需制定健全的业务制度和完备的业务流程，涵盖做市业务管理、交易管理、结算、风险管理、内部控制、应急等各个业务环节，并明确各相关部门的职责和岗位设置。</w:t>
      </w:r>
    </w:p>
    <w:p>
      <w:pPr>
        <w:adjustRightInd w:val="0"/>
        <w:snapToGrid w:val="0"/>
        <w:spacing w:line="560" w:lineRule="exact"/>
        <w:ind w:firstLine="640"/>
        <w:rPr>
          <w:rFonts w:ascii="仿宋" w:hAnsi="仿宋" w:eastAsia="仿宋"/>
          <w:sz w:val="32"/>
        </w:rPr>
      </w:pPr>
      <w:r>
        <w:rPr>
          <w:rFonts w:hint="eastAsia" w:ascii="仿宋" w:hAnsi="仿宋" w:eastAsia="仿宋"/>
          <w:sz w:val="32"/>
        </w:rPr>
        <w:t>做市商需制定做市业务管理办法，保障业务规范开展</w:t>
      </w:r>
      <w:r>
        <w:rPr>
          <w:rFonts w:ascii="仿宋" w:hAnsi="仿宋" w:eastAsia="仿宋"/>
          <w:sz w:val="32"/>
        </w:rPr>
        <w:t>，</w:t>
      </w:r>
      <w:r>
        <w:rPr>
          <w:rFonts w:hint="eastAsia" w:ascii="仿宋" w:hAnsi="仿宋" w:eastAsia="仿宋"/>
          <w:sz w:val="32"/>
        </w:rPr>
        <w:t>内容包括但不限于做市业务实施机制、决策流程、授权体系、风险管理、合规与内部控制、考评及问责机制等。</w:t>
      </w:r>
    </w:p>
    <w:p>
      <w:pPr>
        <w:adjustRightInd w:val="0"/>
        <w:snapToGrid w:val="0"/>
        <w:spacing w:line="560" w:lineRule="exact"/>
        <w:ind w:firstLine="640"/>
        <w:rPr>
          <w:rFonts w:ascii="仿宋" w:hAnsi="仿宋" w:eastAsia="仿宋"/>
          <w:sz w:val="32"/>
        </w:rPr>
      </w:pPr>
      <w:r>
        <w:rPr>
          <w:rFonts w:hint="eastAsia" w:ascii="仿宋" w:hAnsi="仿宋" w:eastAsia="仿宋"/>
          <w:sz w:val="32"/>
        </w:rPr>
        <w:t>做市商需制定做市业务风险管理制度，加强对做市业务的风险管理，有效防范和化解业务风险</w:t>
      </w:r>
      <w:r>
        <w:rPr>
          <w:rFonts w:ascii="仿宋" w:hAnsi="仿宋" w:eastAsia="仿宋"/>
          <w:sz w:val="32"/>
        </w:rPr>
        <w:t>，</w:t>
      </w:r>
      <w:r>
        <w:rPr>
          <w:rFonts w:hint="eastAsia" w:ascii="仿宋" w:hAnsi="仿宋" w:eastAsia="仿宋"/>
          <w:sz w:val="32"/>
        </w:rPr>
        <w:t>内容包括但不限于做市业务风险管理基本原则、风险指标设计、风险识别与评估、风险控制与处置、风险定期报告机制、压力测试的情景设置和分析等。</w:t>
      </w:r>
    </w:p>
    <w:p>
      <w:pPr>
        <w:adjustRightInd w:val="0"/>
        <w:snapToGrid w:val="0"/>
        <w:spacing w:line="560" w:lineRule="exact"/>
        <w:ind w:firstLine="640"/>
        <w:rPr>
          <w:rFonts w:ascii="仿宋" w:hAnsi="仿宋"/>
          <w:sz w:val="32"/>
        </w:rPr>
      </w:pPr>
      <w:r>
        <w:rPr>
          <w:rFonts w:hint="eastAsia" w:ascii="仿宋" w:hAnsi="仿宋" w:eastAsia="仿宋"/>
          <w:sz w:val="32"/>
        </w:rPr>
        <w:t>做市商需制定做市业务应急预案，以应对做市业务中的突发事件，保障做市业务平稳开展。</w:t>
      </w:r>
      <w:r>
        <w:rPr>
          <w:rFonts w:ascii="仿宋" w:hAnsi="仿宋"/>
          <w:sz w:val="32"/>
        </w:rPr>
        <w:br w:type="page"/>
      </w:r>
    </w:p>
    <w:p>
      <w:pPr>
        <w:pStyle w:val="3"/>
        <w:spacing w:before="204" w:beforeLines="50" w:after="204" w:afterLines="50" w:line="560" w:lineRule="exact"/>
        <w:ind w:firstLine="0" w:firstLineChars="0"/>
        <w:jc w:val="center"/>
        <w:outlineLvl w:val="0"/>
        <w:rPr>
          <w:rFonts w:ascii="黑体" w:hAnsi="黑体" w:eastAsia="黑体"/>
          <w:bCs/>
          <w:sz w:val="32"/>
        </w:rPr>
      </w:pPr>
      <w:bookmarkStart w:id="17" w:name="_Toc10411"/>
      <w:bookmarkStart w:id="18" w:name="_Toc10730"/>
      <w:bookmarkStart w:id="19" w:name="_Toc67332292"/>
      <w:r>
        <w:rPr>
          <w:rFonts w:hint="eastAsia" w:ascii="黑体" w:hAnsi="黑体" w:eastAsia="黑体"/>
          <w:bCs/>
          <w:sz w:val="32"/>
        </w:rPr>
        <w:t>第二章</w:t>
      </w:r>
      <w:r>
        <w:rPr>
          <w:rFonts w:ascii="黑体" w:hAnsi="黑体" w:eastAsia="黑体"/>
          <w:bCs/>
          <w:sz w:val="32"/>
        </w:rPr>
        <w:t xml:space="preserve"> </w:t>
      </w:r>
      <w:r>
        <w:rPr>
          <w:rFonts w:hint="eastAsia" w:ascii="黑体" w:hAnsi="黑体" w:eastAsia="黑体"/>
          <w:bCs/>
          <w:sz w:val="32"/>
        </w:rPr>
        <w:t>业务申请与受理</w:t>
      </w:r>
      <w:bookmarkEnd w:id="17"/>
      <w:bookmarkEnd w:id="18"/>
      <w:bookmarkEnd w:id="19"/>
    </w:p>
    <w:p>
      <w:pPr>
        <w:pStyle w:val="4"/>
        <w:spacing w:before="0" w:line="560" w:lineRule="exact"/>
        <w:ind w:firstLine="640"/>
        <w:rPr>
          <w:rFonts w:ascii="黑体" w:hAnsi="黑体" w:eastAsia="黑体"/>
          <w:b w:val="0"/>
          <w:sz w:val="32"/>
        </w:rPr>
      </w:pPr>
      <w:bookmarkStart w:id="20" w:name="_Toc2022"/>
      <w:bookmarkStart w:id="21" w:name="_Toc4240"/>
      <w:bookmarkStart w:id="22" w:name="_Toc67332293"/>
      <w:r>
        <w:rPr>
          <w:rFonts w:hint="eastAsia" w:ascii="黑体" w:hAnsi="黑体" w:eastAsia="黑体"/>
          <w:b w:val="0"/>
          <w:sz w:val="32"/>
        </w:rPr>
        <w:t>一、做市申请条件</w:t>
      </w:r>
      <w:bookmarkEnd w:id="20"/>
      <w:bookmarkEnd w:id="21"/>
      <w:bookmarkEnd w:id="22"/>
    </w:p>
    <w:p>
      <w:pPr>
        <w:spacing w:line="560" w:lineRule="exact"/>
        <w:ind w:firstLine="636"/>
        <w:rPr>
          <w:rFonts w:ascii="仿宋" w:hAnsi="仿宋" w:eastAsia="仿宋"/>
          <w:color w:val="000000"/>
          <w:spacing w:val="-1"/>
          <w:kern w:val="0"/>
          <w:sz w:val="32"/>
        </w:rPr>
      </w:pPr>
      <w:r>
        <w:rPr>
          <w:rFonts w:hint="eastAsia" w:ascii="仿宋" w:hAnsi="仿宋" w:eastAsia="仿宋"/>
          <w:color w:val="000000"/>
          <w:spacing w:val="-1"/>
          <w:kern w:val="0"/>
          <w:sz w:val="32"/>
        </w:rPr>
        <w:t>符合下列条件的机构，可以向本所申请为合约品种提供做市服务：</w:t>
      </w:r>
    </w:p>
    <w:p>
      <w:pPr>
        <w:spacing w:line="560" w:lineRule="exact"/>
        <w:ind w:firstLine="640"/>
        <w:rPr>
          <w:rFonts w:ascii="仿宋" w:hAnsi="仿宋" w:eastAsia="仿宋"/>
          <w:sz w:val="32"/>
        </w:rPr>
      </w:pPr>
      <w:r>
        <w:rPr>
          <w:rFonts w:hint="eastAsia" w:ascii="仿宋" w:hAnsi="仿宋" w:eastAsia="仿宋"/>
          <w:sz w:val="32"/>
        </w:rPr>
        <w:t>（一）参与本所期权模拟交易做市业务超过3个月，且在本所要求的模拟交易期间做市表现符合本所相关做市指标要求。具体要求包括但不限于：</w:t>
      </w:r>
    </w:p>
    <w:p>
      <w:pPr>
        <w:spacing w:line="560" w:lineRule="exact"/>
        <w:ind w:firstLine="640"/>
        <w:rPr>
          <w:rFonts w:ascii="仿宋" w:hAnsi="仿宋" w:eastAsia="仿宋"/>
          <w:sz w:val="32"/>
        </w:rPr>
      </w:pPr>
      <w:r>
        <w:rPr>
          <w:rFonts w:hint="eastAsia" w:ascii="仿宋" w:hAnsi="仿宋" w:eastAsia="仿宋"/>
          <w:sz w:val="32"/>
        </w:rPr>
        <w:t>1．按照本所规定的报价义务同时为至少2个模拟交易品种提供做市服务，且至少1个完整自然月内，有2个品种的做市绩效均满足本所股票期权主做市商合格要求；</w:t>
      </w:r>
    </w:p>
    <w:p>
      <w:pPr>
        <w:spacing w:line="560" w:lineRule="exact"/>
        <w:ind w:firstLine="640"/>
        <w:rPr>
          <w:rFonts w:ascii="仿宋" w:hAnsi="仿宋" w:eastAsia="仿宋"/>
          <w:sz w:val="32"/>
        </w:rPr>
      </w:pPr>
      <w:r>
        <w:rPr>
          <w:rFonts w:hint="eastAsia" w:ascii="仿宋" w:hAnsi="仿宋" w:eastAsia="仿宋"/>
          <w:sz w:val="32"/>
        </w:rPr>
        <w:t>2．参与模拟交易期间做市业务技术系统运行稳定，未发生过影响其提供做市服务的技术故障；</w:t>
      </w:r>
    </w:p>
    <w:p>
      <w:pPr>
        <w:spacing w:line="560" w:lineRule="exact"/>
        <w:ind w:firstLine="640"/>
        <w:rPr>
          <w:rFonts w:ascii="仿宋" w:hAnsi="仿宋" w:eastAsia="仿宋"/>
          <w:sz w:val="32"/>
        </w:rPr>
      </w:pPr>
      <w:r>
        <w:rPr>
          <w:rFonts w:hint="eastAsia" w:ascii="仿宋" w:hAnsi="仿宋" w:eastAsia="仿宋"/>
          <w:sz w:val="32"/>
        </w:rPr>
        <w:t>（二）通过本所组织的做市业务专项测试；</w:t>
      </w:r>
    </w:p>
    <w:p>
      <w:pPr>
        <w:spacing w:line="560" w:lineRule="exact"/>
        <w:ind w:firstLine="636"/>
        <w:rPr>
          <w:rFonts w:ascii="仿宋" w:hAnsi="仿宋" w:eastAsia="仿宋"/>
          <w:color w:val="000000"/>
          <w:spacing w:val="-1"/>
          <w:kern w:val="0"/>
          <w:sz w:val="32"/>
        </w:rPr>
      </w:pPr>
      <w:r>
        <w:rPr>
          <w:rFonts w:hint="eastAsia" w:ascii="仿宋" w:hAnsi="仿宋" w:eastAsia="仿宋"/>
          <w:color w:val="000000"/>
          <w:spacing w:val="-1"/>
          <w:kern w:val="0"/>
          <w:sz w:val="32"/>
        </w:rPr>
        <w:t>（三）通过本所组织的做市业务准备情况专项检查。检查重点包括：做市业务技术系统基本交易做市功能实现、安全运行状况，以及与做市业务相关的组织人员配备情况、内部控制制度、业务操作规范、风险管理措施等。详见《深圳证券交易所股票期权做市业务准备情况专项检查工作底稿》（附件1）；</w:t>
      </w:r>
    </w:p>
    <w:p>
      <w:pPr>
        <w:spacing w:line="560" w:lineRule="exact"/>
        <w:ind w:firstLine="636"/>
        <w:rPr>
          <w:rFonts w:ascii="仿宋" w:hAnsi="仿宋" w:eastAsia="仿宋"/>
          <w:color w:val="000000"/>
          <w:spacing w:val="-1"/>
          <w:kern w:val="0"/>
          <w:sz w:val="32"/>
        </w:rPr>
      </w:pPr>
      <w:r>
        <w:rPr>
          <w:rFonts w:hint="eastAsia" w:ascii="仿宋" w:hAnsi="仿宋" w:eastAsia="仿宋"/>
          <w:color w:val="000000"/>
          <w:spacing w:val="-1"/>
          <w:kern w:val="0"/>
          <w:sz w:val="32"/>
        </w:rPr>
        <w:t>（四）过去1年内未因做市业务的违法违规行为被采取监管措施、纪律处分或者行政处罚；</w:t>
      </w:r>
    </w:p>
    <w:p>
      <w:pPr>
        <w:spacing w:line="560" w:lineRule="exact"/>
        <w:ind w:firstLine="636"/>
        <w:rPr>
          <w:rFonts w:ascii="仿宋" w:hAnsi="仿宋" w:eastAsia="仿宋"/>
          <w:color w:val="000000"/>
          <w:spacing w:val="-1"/>
          <w:kern w:val="0"/>
          <w:sz w:val="32"/>
        </w:rPr>
      </w:pPr>
      <w:r>
        <w:rPr>
          <w:rFonts w:hint="eastAsia" w:ascii="仿宋" w:hAnsi="仿宋" w:eastAsia="仿宋"/>
          <w:color w:val="000000"/>
          <w:spacing w:val="-1"/>
          <w:kern w:val="0"/>
          <w:sz w:val="32"/>
        </w:rPr>
        <w:t>（五）中国证监会及本所规定的其他条件。</w:t>
      </w:r>
    </w:p>
    <w:p>
      <w:pPr>
        <w:spacing w:line="560" w:lineRule="exact"/>
        <w:ind w:firstLine="640"/>
      </w:pPr>
      <w:r>
        <w:rPr>
          <w:rFonts w:hint="eastAsia" w:ascii="仿宋" w:hAnsi="仿宋" w:eastAsia="仿宋"/>
          <w:sz w:val="32"/>
        </w:rPr>
        <w:t>本所现有合约品种的做市商（以下简称本所期权做市商），申请为本所其他合约品种提供做市服务的，视同满足第（一）至（三）项条件。</w:t>
      </w:r>
    </w:p>
    <w:p>
      <w:pPr>
        <w:pStyle w:val="4"/>
        <w:spacing w:before="0" w:line="560" w:lineRule="exact"/>
        <w:ind w:firstLine="640"/>
        <w:rPr>
          <w:rFonts w:ascii="黑体" w:hAnsi="黑体" w:eastAsia="黑体"/>
          <w:b w:val="0"/>
          <w:sz w:val="32"/>
        </w:rPr>
      </w:pPr>
      <w:bookmarkStart w:id="23" w:name="_Toc7811"/>
      <w:bookmarkStart w:id="24" w:name="_Toc67332294"/>
      <w:bookmarkStart w:id="25" w:name="_Toc32575"/>
      <w:r>
        <w:rPr>
          <w:rFonts w:hint="eastAsia" w:ascii="黑体" w:hAnsi="黑体" w:eastAsia="黑体"/>
          <w:b w:val="0"/>
          <w:sz w:val="32"/>
        </w:rPr>
        <w:t>二、做市申请材料</w:t>
      </w:r>
      <w:bookmarkEnd w:id="23"/>
      <w:bookmarkEnd w:id="24"/>
      <w:bookmarkEnd w:id="25"/>
    </w:p>
    <w:p>
      <w:pPr>
        <w:spacing w:line="560" w:lineRule="exact"/>
        <w:ind w:firstLine="640"/>
        <w:rPr>
          <w:rFonts w:ascii="仿宋" w:hAnsi="仿宋" w:eastAsia="仿宋"/>
          <w:sz w:val="32"/>
        </w:rPr>
      </w:pPr>
      <w:r>
        <w:rPr>
          <w:rFonts w:hint="eastAsia" w:ascii="仿宋" w:hAnsi="仿宋" w:eastAsia="仿宋"/>
          <w:sz w:val="32"/>
        </w:rPr>
        <w:t>（一）机构首次申请为本所期权合约品种提供做市服务的，应向本所提交下列材料：</w:t>
      </w:r>
    </w:p>
    <w:p>
      <w:pPr>
        <w:spacing w:line="560" w:lineRule="exact"/>
        <w:ind w:firstLine="640"/>
        <w:rPr>
          <w:rFonts w:ascii="仿宋" w:hAnsi="仿宋" w:eastAsia="仿宋"/>
          <w:sz w:val="32"/>
        </w:rPr>
      </w:pPr>
      <w:r>
        <w:rPr>
          <w:rFonts w:hint="eastAsia" w:ascii="仿宋" w:hAnsi="仿宋" w:eastAsia="仿宋"/>
          <w:sz w:val="32"/>
        </w:rPr>
        <w:t>1．经法定代表人签字并加盖单位公章的主做市商业务申请书或一般做市商业务申请书，申请书中须包含申请做市的品种、做市业务资金规模和已参与期权做市业务的市场、品种、类别等情况；</w:t>
      </w:r>
    </w:p>
    <w:p>
      <w:pPr>
        <w:spacing w:line="560" w:lineRule="exact"/>
        <w:ind w:firstLine="640"/>
        <w:rPr>
          <w:rFonts w:ascii="仿宋" w:hAnsi="仿宋" w:eastAsia="仿宋"/>
          <w:sz w:val="32"/>
        </w:rPr>
      </w:pPr>
      <w:r>
        <w:rPr>
          <w:rFonts w:hint="eastAsia" w:ascii="仿宋" w:hAnsi="仿宋" w:eastAsia="仿宋"/>
          <w:sz w:val="32"/>
        </w:rPr>
        <w:t>2．加盖单位公章的营业执照副本复印件；</w:t>
      </w:r>
    </w:p>
    <w:p>
      <w:pPr>
        <w:spacing w:line="560" w:lineRule="exact"/>
        <w:ind w:firstLine="640"/>
        <w:rPr>
          <w:rFonts w:ascii="仿宋" w:hAnsi="仿宋" w:eastAsia="仿宋"/>
          <w:sz w:val="32"/>
        </w:rPr>
      </w:pPr>
      <w:r>
        <w:rPr>
          <w:rFonts w:hint="eastAsia" w:ascii="仿宋" w:hAnsi="仿宋" w:eastAsia="仿宋"/>
          <w:sz w:val="32"/>
        </w:rPr>
        <w:t>3．做市业务风险控制制度及有关内部管理制度（必备参考要点见附件2）；</w:t>
      </w:r>
    </w:p>
    <w:p>
      <w:pPr>
        <w:spacing w:line="560" w:lineRule="exact"/>
        <w:ind w:firstLine="640"/>
        <w:rPr>
          <w:rFonts w:ascii="仿宋" w:hAnsi="仿宋" w:eastAsia="仿宋"/>
          <w:sz w:val="32"/>
        </w:rPr>
      </w:pPr>
      <w:r>
        <w:rPr>
          <w:rFonts w:hint="eastAsia" w:ascii="仿宋" w:hAnsi="仿宋" w:eastAsia="仿宋"/>
          <w:sz w:val="32"/>
        </w:rPr>
        <w:t>4．负责做市业务的部门、岗位设置、人员情况说明（做市业务人员情况表见附件3），若负责做市业务的负责人和联络人出现调整，应及时向本所报备；</w:t>
      </w:r>
    </w:p>
    <w:p>
      <w:pPr>
        <w:spacing w:line="560" w:lineRule="exact"/>
        <w:ind w:firstLine="640"/>
        <w:rPr>
          <w:rFonts w:ascii="仿宋" w:hAnsi="仿宋" w:eastAsia="仿宋"/>
          <w:sz w:val="32"/>
        </w:rPr>
      </w:pPr>
      <w:r>
        <w:rPr>
          <w:rFonts w:hint="eastAsia" w:ascii="仿宋" w:hAnsi="仿宋" w:eastAsia="仿宋"/>
          <w:sz w:val="32"/>
        </w:rPr>
        <w:t>5．开展做市业务的技术系统准备情况；</w:t>
      </w:r>
    </w:p>
    <w:p>
      <w:pPr>
        <w:spacing w:line="560" w:lineRule="exact"/>
        <w:ind w:firstLine="640"/>
        <w:rPr>
          <w:rFonts w:ascii="仿宋" w:hAnsi="仿宋" w:eastAsia="仿宋"/>
          <w:sz w:val="32"/>
        </w:rPr>
      </w:pPr>
      <w:r>
        <w:rPr>
          <w:rFonts w:hint="eastAsia" w:ascii="仿宋" w:hAnsi="仿宋" w:eastAsia="仿宋"/>
          <w:sz w:val="32"/>
        </w:rPr>
        <w:t>6. 做市业务实施方案；</w:t>
      </w:r>
    </w:p>
    <w:p>
      <w:pPr>
        <w:spacing w:line="560" w:lineRule="exact"/>
        <w:ind w:firstLine="640"/>
        <w:rPr>
          <w:rFonts w:ascii="仿宋" w:hAnsi="仿宋" w:eastAsia="仿宋"/>
          <w:sz w:val="32"/>
        </w:rPr>
      </w:pPr>
      <w:r>
        <w:rPr>
          <w:rFonts w:hint="eastAsia" w:ascii="仿宋" w:hAnsi="仿宋" w:eastAsia="仿宋"/>
          <w:sz w:val="32"/>
        </w:rPr>
        <w:t>7．中国证监会或本所规定的其他材料。</w:t>
      </w:r>
    </w:p>
    <w:p>
      <w:pPr>
        <w:spacing w:line="560" w:lineRule="exact"/>
        <w:ind w:firstLine="640"/>
        <w:rPr>
          <w:rFonts w:ascii="仿宋" w:hAnsi="仿宋" w:eastAsia="仿宋"/>
          <w:sz w:val="32"/>
        </w:rPr>
      </w:pPr>
      <w:r>
        <w:rPr>
          <w:rFonts w:hint="eastAsia" w:ascii="仿宋" w:hAnsi="仿宋" w:eastAsia="仿宋"/>
          <w:sz w:val="32"/>
        </w:rPr>
        <w:t>申请人需通过本所期权网上业务专区或本所认可的其他方式提交电子版申请材料。其中，第1、2项还需以书面形式提交至本所。申请人的法定代表人和经营管理的主要负责人应在业务申请书上签字，并做出如下承诺：申请人提交的申请材料内容真实、准确、完整，如存在虚假记载、误导性陈述和重大遗漏，将承担相关法律责任。</w:t>
      </w:r>
    </w:p>
    <w:p>
      <w:pPr>
        <w:spacing w:line="560" w:lineRule="exact"/>
        <w:ind w:firstLine="640"/>
        <w:rPr>
          <w:rFonts w:ascii="仿宋" w:hAnsi="仿宋" w:eastAsia="仿宋"/>
          <w:sz w:val="32"/>
        </w:rPr>
      </w:pPr>
      <w:r>
        <w:rPr>
          <w:rFonts w:hint="eastAsia" w:ascii="仿宋" w:hAnsi="仿宋" w:eastAsia="仿宋"/>
          <w:sz w:val="32"/>
        </w:rPr>
        <w:t>（二）本所期权做市商申请为本所其他合约品种提供做市服务的，仅需以电子和书面形式向本所提交经法定代表人签字并加盖单位公章的主做市商业务申请书或一般做市商业务申请书。</w:t>
      </w:r>
    </w:p>
    <w:p>
      <w:pPr>
        <w:pStyle w:val="4"/>
        <w:spacing w:before="0" w:line="560" w:lineRule="exact"/>
        <w:ind w:firstLine="640"/>
        <w:rPr>
          <w:rFonts w:ascii="黑体" w:hAnsi="黑体" w:eastAsia="黑体"/>
          <w:b w:val="0"/>
          <w:sz w:val="32"/>
        </w:rPr>
      </w:pPr>
      <w:bookmarkStart w:id="26" w:name="_Toc13426"/>
      <w:bookmarkStart w:id="27" w:name="_Toc574"/>
      <w:bookmarkStart w:id="28" w:name="_Toc67332295"/>
      <w:r>
        <w:rPr>
          <w:rFonts w:hint="eastAsia" w:ascii="黑体" w:hAnsi="黑体" w:eastAsia="黑体"/>
          <w:b w:val="0"/>
          <w:sz w:val="32"/>
        </w:rPr>
        <w:t>三、做市申请受理</w:t>
      </w:r>
      <w:bookmarkEnd w:id="26"/>
      <w:bookmarkEnd w:id="27"/>
      <w:bookmarkEnd w:id="28"/>
    </w:p>
    <w:p>
      <w:pPr>
        <w:spacing w:line="560" w:lineRule="exact"/>
        <w:ind w:firstLine="640"/>
        <w:rPr>
          <w:rFonts w:ascii="仿宋" w:hAnsi="仿宋" w:eastAsia="仿宋"/>
          <w:sz w:val="32"/>
        </w:rPr>
      </w:pPr>
      <w:r>
        <w:rPr>
          <w:rFonts w:hint="eastAsia" w:ascii="仿宋" w:hAnsi="仿宋" w:eastAsia="仿宋"/>
          <w:sz w:val="32"/>
        </w:rPr>
        <w:t>本所将根据《指引》的有关规定，对申请材料进行核验。</w:t>
      </w:r>
    </w:p>
    <w:p>
      <w:pPr>
        <w:spacing w:line="560" w:lineRule="exact"/>
        <w:ind w:firstLine="640"/>
        <w:rPr>
          <w:rFonts w:ascii="仿宋" w:hAnsi="仿宋" w:eastAsia="仿宋"/>
          <w:sz w:val="32"/>
        </w:rPr>
      </w:pPr>
      <w:r>
        <w:rPr>
          <w:rFonts w:hint="eastAsia" w:ascii="仿宋" w:hAnsi="仿宋" w:eastAsia="仿宋"/>
          <w:sz w:val="32"/>
        </w:rPr>
        <w:t>（一）机构首次申请为本所期权合约品种提供做市服务的，核验内容包括但不限于：</w:t>
      </w:r>
    </w:p>
    <w:p>
      <w:pPr>
        <w:spacing w:line="560" w:lineRule="exact"/>
        <w:ind w:firstLine="640"/>
        <w:rPr>
          <w:rFonts w:ascii="仿宋" w:hAnsi="仿宋" w:eastAsia="仿宋"/>
          <w:sz w:val="32"/>
        </w:rPr>
      </w:pPr>
      <w:r>
        <w:rPr>
          <w:rFonts w:hint="eastAsia" w:ascii="仿宋" w:hAnsi="仿宋" w:eastAsia="仿宋"/>
          <w:sz w:val="32"/>
        </w:rPr>
        <w:t>1．申请人参与本所期权全真模拟交易、做市业务专项测试及做市业务准备情况专项检查的情况；</w:t>
      </w:r>
    </w:p>
    <w:p>
      <w:pPr>
        <w:spacing w:line="560" w:lineRule="exact"/>
        <w:ind w:firstLine="640"/>
        <w:rPr>
          <w:rFonts w:ascii="仿宋" w:hAnsi="仿宋" w:eastAsia="仿宋"/>
          <w:color w:val="000000"/>
          <w:spacing w:val="-1"/>
          <w:kern w:val="0"/>
          <w:sz w:val="32"/>
        </w:rPr>
      </w:pPr>
      <w:r>
        <w:rPr>
          <w:rFonts w:hint="eastAsia" w:ascii="仿宋" w:hAnsi="仿宋" w:eastAsia="仿宋"/>
          <w:sz w:val="32"/>
        </w:rPr>
        <w:t>2．申请人</w:t>
      </w:r>
      <w:r>
        <w:rPr>
          <w:rFonts w:hint="eastAsia" w:ascii="仿宋" w:hAnsi="仿宋" w:eastAsia="仿宋"/>
          <w:color w:val="000000"/>
          <w:spacing w:val="-1"/>
          <w:kern w:val="0"/>
          <w:sz w:val="32"/>
        </w:rPr>
        <w:t>过去1年内在其他市场开展做市业务的相关情况；</w:t>
      </w:r>
    </w:p>
    <w:p>
      <w:pPr>
        <w:spacing w:line="560" w:lineRule="exact"/>
        <w:ind w:firstLine="636"/>
        <w:rPr>
          <w:rFonts w:ascii="仿宋" w:hAnsi="仿宋" w:eastAsia="仿宋"/>
          <w:sz w:val="32"/>
        </w:rPr>
      </w:pPr>
      <w:r>
        <w:rPr>
          <w:rFonts w:hint="eastAsia" w:ascii="仿宋" w:hAnsi="仿宋" w:eastAsia="仿宋"/>
          <w:color w:val="000000"/>
          <w:spacing w:val="-1"/>
          <w:kern w:val="0"/>
          <w:sz w:val="32"/>
        </w:rPr>
        <w:t>3．</w:t>
      </w:r>
      <w:r>
        <w:rPr>
          <w:rFonts w:hint="eastAsia" w:ascii="仿宋" w:hAnsi="仿宋" w:eastAsia="仿宋"/>
          <w:sz w:val="32"/>
        </w:rPr>
        <w:t>申请人的</w:t>
      </w:r>
      <w:r>
        <w:rPr>
          <w:rFonts w:hint="eastAsia" w:ascii="仿宋" w:hAnsi="仿宋" w:eastAsia="仿宋"/>
          <w:color w:val="000000"/>
          <w:spacing w:val="-1"/>
          <w:kern w:val="0"/>
          <w:sz w:val="32"/>
        </w:rPr>
        <w:t>做市资金规模。</w:t>
      </w:r>
    </w:p>
    <w:p>
      <w:pPr>
        <w:spacing w:line="560" w:lineRule="exact"/>
        <w:ind w:firstLine="640"/>
        <w:rPr>
          <w:rFonts w:ascii="仿宋" w:hAnsi="仿宋" w:eastAsia="仿宋"/>
          <w:sz w:val="32"/>
        </w:rPr>
      </w:pPr>
      <w:r>
        <w:rPr>
          <w:rFonts w:hint="eastAsia" w:ascii="仿宋" w:hAnsi="仿宋" w:eastAsia="仿宋"/>
          <w:sz w:val="32"/>
        </w:rPr>
        <w:t>（二）本所期权做市商申请为其他合约品种提供做市服务的，核验内容包括但不限于：</w:t>
      </w:r>
    </w:p>
    <w:p>
      <w:pPr>
        <w:spacing w:line="560" w:lineRule="exact"/>
        <w:ind w:firstLine="640"/>
        <w:rPr>
          <w:rFonts w:ascii="仿宋" w:hAnsi="仿宋" w:eastAsia="仿宋"/>
          <w:sz w:val="32"/>
        </w:rPr>
      </w:pPr>
      <w:r>
        <w:rPr>
          <w:rFonts w:hint="eastAsia" w:ascii="仿宋" w:hAnsi="仿宋" w:eastAsia="仿宋"/>
          <w:sz w:val="32"/>
        </w:rPr>
        <w:t>1．申请人的做市情况，包括对负责做市的合约品种的绩效是否满足本所要求，做市业务技术系统是否运行稳定，是否因做市业务出现过风险事件或违法违规行为等；</w:t>
      </w:r>
    </w:p>
    <w:p>
      <w:pPr>
        <w:spacing w:line="560" w:lineRule="exact"/>
        <w:ind w:firstLine="640"/>
        <w:rPr>
          <w:rFonts w:ascii="仿宋" w:hAnsi="仿宋" w:eastAsia="仿宋"/>
          <w:sz w:val="32"/>
        </w:rPr>
      </w:pPr>
      <w:r>
        <w:rPr>
          <w:rFonts w:hint="eastAsia" w:ascii="仿宋" w:hAnsi="仿宋" w:eastAsia="仿宋"/>
          <w:sz w:val="32"/>
        </w:rPr>
        <w:t>2．申请人的做市资金规模。</w:t>
      </w:r>
    </w:p>
    <w:p>
      <w:pPr>
        <w:spacing w:line="560" w:lineRule="exact"/>
        <w:ind w:firstLine="640"/>
        <w:rPr>
          <w:rFonts w:ascii="仿宋" w:hAnsi="仿宋" w:eastAsia="仿宋"/>
          <w:sz w:val="32"/>
        </w:rPr>
      </w:pPr>
      <w:r>
        <w:rPr>
          <w:rFonts w:hint="eastAsia" w:ascii="仿宋" w:hAnsi="仿宋" w:eastAsia="仿宋"/>
          <w:sz w:val="32"/>
        </w:rPr>
        <w:t>申请符合条件且材料齐备的，本所将根据申请人的专业水平、做市业务准备或开展情况、做市资金规模等，综合考虑市场情况，决定是否同意申请人的合约品种做市申请，并于受理之日起15个交易日内通知申请人。</w:t>
      </w:r>
    </w:p>
    <w:p>
      <w:pPr>
        <w:pStyle w:val="4"/>
        <w:spacing w:before="0" w:line="560" w:lineRule="exact"/>
        <w:ind w:firstLine="640"/>
        <w:rPr>
          <w:rFonts w:ascii="黑体" w:hAnsi="黑体" w:eastAsia="黑体"/>
          <w:b w:val="0"/>
          <w:sz w:val="32"/>
        </w:rPr>
      </w:pPr>
      <w:bookmarkStart w:id="29" w:name="_Toc10058"/>
      <w:bookmarkStart w:id="30" w:name="_Toc67332296"/>
      <w:bookmarkStart w:id="31" w:name="_Toc16705"/>
      <w:r>
        <w:rPr>
          <w:rFonts w:hint="eastAsia" w:ascii="黑体" w:hAnsi="黑体" w:eastAsia="黑体"/>
          <w:b w:val="0"/>
          <w:sz w:val="32"/>
        </w:rPr>
        <w:t>四、主做市商增补</w:t>
      </w:r>
      <w:bookmarkEnd w:id="29"/>
      <w:bookmarkEnd w:id="30"/>
      <w:bookmarkEnd w:id="31"/>
    </w:p>
    <w:p>
      <w:pPr>
        <w:spacing w:line="560" w:lineRule="exact"/>
        <w:ind w:firstLine="640"/>
        <w:rPr>
          <w:rFonts w:ascii="仿宋" w:hAnsi="仿宋" w:eastAsia="仿宋"/>
          <w:sz w:val="32"/>
        </w:rPr>
      </w:pPr>
      <w:r>
        <w:rPr>
          <w:rFonts w:hint="eastAsia" w:ascii="仿宋" w:hAnsi="仿宋" w:eastAsia="仿宋"/>
          <w:sz w:val="32"/>
        </w:rPr>
        <w:t>本所可以根据市场情况，每季度启动指定合约品种的主做市商增补工作，并向市场公布相关信息。同时符合下列条件的，可以按照本所要求申请成为该指定合约品种的主做市商：</w:t>
      </w:r>
    </w:p>
    <w:p>
      <w:pPr>
        <w:spacing w:line="560" w:lineRule="exact"/>
        <w:ind w:firstLine="640"/>
        <w:rPr>
          <w:rFonts w:ascii="仿宋" w:hAnsi="仿宋" w:eastAsia="仿宋"/>
          <w:sz w:val="32"/>
        </w:rPr>
      </w:pPr>
      <w:r>
        <w:rPr>
          <w:rFonts w:hint="eastAsia" w:ascii="仿宋" w:hAnsi="仿宋" w:eastAsia="仿宋"/>
          <w:sz w:val="32"/>
        </w:rPr>
        <w:t>（一）担任本所任一期权合约品种的做市商满6个月，且担任该指定合约品种一般做市商满2个月；</w:t>
      </w:r>
    </w:p>
    <w:p>
      <w:pPr>
        <w:spacing w:line="560" w:lineRule="exact"/>
        <w:ind w:firstLine="640"/>
        <w:rPr>
          <w:rFonts w:ascii="仿宋" w:hAnsi="仿宋" w:eastAsia="仿宋"/>
          <w:sz w:val="32"/>
        </w:rPr>
      </w:pPr>
      <w:r>
        <w:rPr>
          <w:rFonts w:hint="eastAsia" w:ascii="仿宋" w:hAnsi="仿宋" w:eastAsia="仿宋"/>
          <w:sz w:val="32"/>
        </w:rPr>
        <w:t>（二）自成为该指定合约品种一般做市商后或者最近6个月内，每月做市表现均达到该品种的主做市商绩效评价合格标准，且至少2个月达到A或者以上评价标准。</w:t>
      </w:r>
    </w:p>
    <w:p>
      <w:pPr>
        <w:pStyle w:val="4"/>
        <w:spacing w:before="0" w:line="560" w:lineRule="exact"/>
        <w:ind w:firstLine="640"/>
        <w:rPr>
          <w:rFonts w:ascii="黑体" w:hAnsi="黑体" w:eastAsia="黑体"/>
          <w:b w:val="0"/>
          <w:sz w:val="32"/>
        </w:rPr>
      </w:pPr>
      <w:bookmarkStart w:id="32" w:name="_Toc67332297"/>
      <w:bookmarkStart w:id="33" w:name="_Toc7291"/>
      <w:bookmarkStart w:id="34" w:name="_Toc23341"/>
      <w:r>
        <w:rPr>
          <w:rFonts w:hint="eastAsia" w:ascii="黑体" w:hAnsi="黑体" w:eastAsia="黑体"/>
          <w:b w:val="0"/>
          <w:sz w:val="32"/>
        </w:rPr>
        <w:t>五、拟上市品种主做市商招募</w:t>
      </w:r>
      <w:bookmarkEnd w:id="32"/>
      <w:bookmarkEnd w:id="33"/>
      <w:bookmarkEnd w:id="34"/>
    </w:p>
    <w:p>
      <w:pPr>
        <w:spacing w:line="560" w:lineRule="exact"/>
        <w:ind w:firstLine="640"/>
        <w:rPr>
          <w:rFonts w:ascii="仿宋" w:hAnsi="仿宋" w:eastAsia="仿宋"/>
          <w:sz w:val="32"/>
        </w:rPr>
      </w:pPr>
      <w:r>
        <w:rPr>
          <w:rFonts w:hint="eastAsia" w:ascii="仿宋" w:hAnsi="仿宋" w:eastAsia="仿宋"/>
          <w:sz w:val="32"/>
        </w:rPr>
        <w:t>对于拟上市的期权合约品种，本所至少于品种上市前5个交易日启动主做市商招募工作，并向市场公布相关信息。本所期权做市商符合下列条件的，可按本所要求申请成为该合约品种的主做市商：</w:t>
      </w:r>
    </w:p>
    <w:p>
      <w:pPr>
        <w:spacing w:line="560" w:lineRule="exact"/>
        <w:ind w:firstLine="640"/>
        <w:rPr>
          <w:rFonts w:ascii="仿宋" w:hAnsi="仿宋" w:eastAsia="仿宋"/>
          <w:sz w:val="32"/>
        </w:rPr>
      </w:pPr>
      <w:r>
        <w:rPr>
          <w:rFonts w:hint="eastAsia" w:ascii="仿宋" w:hAnsi="仿宋" w:eastAsia="仿宋"/>
          <w:sz w:val="32"/>
        </w:rPr>
        <w:t>（一）担任本所指定合约品种的主做市商；</w:t>
      </w:r>
    </w:p>
    <w:p>
      <w:pPr>
        <w:spacing w:line="560" w:lineRule="exact"/>
        <w:ind w:firstLine="640"/>
        <w:rPr>
          <w:rFonts w:ascii="仿宋" w:hAnsi="仿宋" w:eastAsia="仿宋"/>
          <w:sz w:val="32"/>
        </w:rPr>
      </w:pPr>
      <w:r>
        <w:rPr>
          <w:rFonts w:hint="eastAsia" w:ascii="仿宋" w:hAnsi="仿宋" w:eastAsia="仿宋"/>
          <w:sz w:val="32"/>
        </w:rPr>
        <w:t>（二）在其担任主做市商满6个月的全部指定合约品种上，最近6个月内每月做市绩效均达到A及以上评价。</w:t>
      </w:r>
    </w:p>
    <w:p>
      <w:pPr>
        <w:pStyle w:val="4"/>
        <w:spacing w:before="0" w:line="560" w:lineRule="exact"/>
        <w:ind w:firstLine="640"/>
        <w:rPr>
          <w:rFonts w:ascii="黑体" w:hAnsi="黑体" w:eastAsia="黑体"/>
          <w:b w:val="0"/>
          <w:sz w:val="32"/>
        </w:rPr>
      </w:pPr>
      <w:bookmarkStart w:id="35" w:name="_Toc2000"/>
      <w:bookmarkStart w:id="36" w:name="_Toc1177"/>
      <w:bookmarkStart w:id="37" w:name="_Toc67332298"/>
      <w:r>
        <w:rPr>
          <w:rFonts w:hint="eastAsia" w:ascii="黑体" w:hAnsi="黑体" w:eastAsia="黑体"/>
          <w:b w:val="0"/>
          <w:sz w:val="32"/>
        </w:rPr>
        <w:t>六、合约品种与持仓限额的同步申请</w:t>
      </w:r>
      <w:bookmarkEnd w:id="35"/>
      <w:bookmarkEnd w:id="36"/>
      <w:bookmarkEnd w:id="37"/>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kern w:val="2"/>
          <w:sz w:val="32"/>
          <w:szCs w:val="30"/>
        </w:rPr>
      </w:pPr>
      <w:r>
        <w:rPr>
          <w:rFonts w:hint="eastAsia" w:ascii="仿宋" w:hAnsi="仿宋" w:eastAsia="仿宋"/>
          <w:sz w:val="32"/>
        </w:rPr>
        <w:t>机构申请为合约品种提供做市服务时，需按《深圳证券交易所股票期权试点持仓限额管理业务指引》（以下简称《持仓限额指引》）要求，</w:t>
      </w:r>
      <w:r>
        <w:rPr>
          <w:rFonts w:hint="eastAsia" w:ascii="仿宋" w:hAnsi="仿宋" w:eastAsia="仿宋"/>
          <w:sz w:val="32"/>
          <w:lang w:eastAsia="zh-CN"/>
        </w:rPr>
        <w:t>根据其做市类型、做市资金规模等</w:t>
      </w:r>
      <w:r>
        <w:rPr>
          <w:rFonts w:hint="eastAsia" w:ascii="仿宋" w:hAnsi="仿宋" w:eastAsia="仿宋"/>
          <w:sz w:val="32"/>
        </w:rPr>
        <w:t>一并提交持仓额度的申请</w:t>
      </w:r>
      <w:r>
        <w:rPr>
          <w:rFonts w:hint="eastAsia" w:ascii="仿宋" w:hAnsi="仿宋" w:eastAsia="仿宋"/>
          <w:sz w:val="32"/>
          <w:lang w:eastAsia="zh-CN"/>
        </w:rPr>
        <w:t>，</w:t>
      </w:r>
      <w:r>
        <w:rPr>
          <w:rFonts w:hint="eastAsia" w:ascii="仿宋" w:hAnsi="仿宋" w:eastAsia="仿宋"/>
          <w:b w:val="0"/>
          <w:bCs w:val="0"/>
          <w:kern w:val="2"/>
          <w:sz w:val="32"/>
          <w:szCs w:val="30"/>
          <w:lang w:val="zh-CN" w:eastAsia="zh-CN"/>
        </w:rPr>
        <w:t>经本所确认后生效。</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kern w:val="2"/>
          <w:sz w:val="32"/>
          <w:szCs w:val="30"/>
          <w:lang w:val="zh-CN" w:eastAsia="zh-CN"/>
        </w:rPr>
      </w:pPr>
      <w:r>
        <w:rPr>
          <w:rFonts w:hint="eastAsia" w:ascii="仿宋" w:hAnsi="仿宋" w:eastAsia="仿宋"/>
          <w:b w:val="0"/>
          <w:bCs w:val="0"/>
          <w:kern w:val="2"/>
          <w:sz w:val="32"/>
          <w:szCs w:val="30"/>
          <w:lang w:val="zh-CN" w:eastAsia="zh-CN"/>
        </w:rPr>
        <w:t>主做市商的初始持仓限额原则上不超过下列标准：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kern w:val="2"/>
          <w:sz w:val="32"/>
          <w:szCs w:val="30"/>
          <w:lang w:val="zh-CN" w:eastAsia="zh-CN"/>
        </w:rPr>
      </w:pPr>
      <w:r>
        <w:rPr>
          <w:rFonts w:hint="eastAsia" w:ascii="仿宋" w:hAnsi="仿宋" w:eastAsia="仿宋"/>
          <w:b w:val="0"/>
          <w:bCs w:val="0"/>
          <w:kern w:val="2"/>
          <w:sz w:val="32"/>
          <w:szCs w:val="30"/>
          <w:lang w:val="zh-CN" w:eastAsia="zh-CN"/>
        </w:rPr>
        <w:t>（一）权利仓持仓限额</w:t>
      </w:r>
      <w:r>
        <w:rPr>
          <w:rFonts w:hint="eastAsia" w:ascii="仿宋" w:hAnsi="仿宋" w:eastAsia="仿宋"/>
          <w:b w:val="0"/>
          <w:bCs w:val="0"/>
          <w:kern w:val="2"/>
          <w:sz w:val="32"/>
          <w:szCs w:val="30"/>
          <w:lang w:val="en-US" w:eastAsia="zh-CN"/>
        </w:rPr>
        <w:t>10</w:t>
      </w:r>
      <w:r>
        <w:rPr>
          <w:rFonts w:hint="eastAsia" w:ascii="仿宋" w:hAnsi="仿宋" w:eastAsia="仿宋"/>
          <w:b w:val="0"/>
          <w:bCs w:val="0"/>
          <w:kern w:val="2"/>
          <w:sz w:val="32"/>
          <w:szCs w:val="30"/>
          <w:lang w:val="zh-CN" w:eastAsia="zh-CN"/>
        </w:rPr>
        <w:t>万张；</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kern w:val="2"/>
          <w:sz w:val="32"/>
          <w:szCs w:val="30"/>
          <w:lang w:val="zh-CN" w:eastAsia="zh-CN"/>
        </w:rPr>
      </w:pPr>
      <w:r>
        <w:rPr>
          <w:rFonts w:hint="eastAsia" w:ascii="仿宋" w:hAnsi="仿宋" w:eastAsia="仿宋"/>
          <w:b w:val="0"/>
          <w:bCs w:val="0"/>
          <w:kern w:val="2"/>
          <w:sz w:val="32"/>
          <w:szCs w:val="30"/>
          <w:lang w:val="zh-CN" w:eastAsia="zh-CN"/>
        </w:rPr>
        <w:t>（二）总持仓限额</w:t>
      </w:r>
      <w:r>
        <w:rPr>
          <w:rFonts w:hint="eastAsia" w:ascii="仿宋" w:hAnsi="仿宋" w:eastAsia="仿宋"/>
          <w:b w:val="0"/>
          <w:bCs w:val="0"/>
          <w:kern w:val="2"/>
          <w:sz w:val="32"/>
          <w:szCs w:val="30"/>
          <w:lang w:val="en-US" w:eastAsia="zh-CN"/>
        </w:rPr>
        <w:t>20</w:t>
      </w:r>
      <w:r>
        <w:rPr>
          <w:rFonts w:hint="eastAsia" w:ascii="仿宋" w:hAnsi="仿宋" w:eastAsia="仿宋"/>
          <w:b w:val="0"/>
          <w:bCs w:val="0"/>
          <w:kern w:val="2"/>
          <w:sz w:val="32"/>
          <w:szCs w:val="30"/>
          <w:lang w:val="zh-CN" w:eastAsia="zh-CN"/>
        </w:rPr>
        <w:t>万张；</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kern w:val="2"/>
          <w:sz w:val="32"/>
          <w:szCs w:val="30"/>
          <w:lang w:val="zh-CN" w:eastAsia="zh-CN"/>
        </w:rPr>
      </w:pPr>
      <w:r>
        <w:rPr>
          <w:rFonts w:hint="eastAsia" w:ascii="仿宋" w:hAnsi="仿宋" w:eastAsia="仿宋"/>
          <w:b w:val="0"/>
          <w:bCs w:val="0"/>
          <w:kern w:val="2"/>
          <w:sz w:val="32"/>
          <w:szCs w:val="30"/>
          <w:lang w:val="zh-CN" w:eastAsia="zh-CN"/>
        </w:rPr>
        <w:t>（三）每日买入开仓限额</w:t>
      </w:r>
      <w:r>
        <w:rPr>
          <w:rFonts w:hint="eastAsia" w:ascii="仿宋" w:hAnsi="仿宋" w:eastAsia="仿宋"/>
          <w:b w:val="0"/>
          <w:bCs w:val="0"/>
          <w:kern w:val="2"/>
          <w:sz w:val="32"/>
          <w:szCs w:val="30"/>
          <w:lang w:val="en-US" w:eastAsia="zh-CN"/>
        </w:rPr>
        <w:t>50</w:t>
      </w:r>
      <w:r>
        <w:rPr>
          <w:rFonts w:hint="eastAsia" w:ascii="仿宋" w:hAnsi="仿宋" w:eastAsia="仿宋"/>
          <w:b w:val="0"/>
          <w:bCs w:val="0"/>
          <w:kern w:val="2"/>
          <w:sz w:val="32"/>
          <w:szCs w:val="30"/>
          <w:lang w:val="zh-CN" w:eastAsia="zh-CN"/>
        </w:rPr>
        <w:t>万张。</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kern w:val="2"/>
          <w:sz w:val="32"/>
          <w:szCs w:val="30"/>
          <w:lang w:val="zh-CN" w:eastAsia="zh-CN"/>
        </w:rPr>
      </w:pPr>
      <w:r>
        <w:rPr>
          <w:rFonts w:hint="eastAsia" w:ascii="仿宋" w:hAnsi="仿宋" w:eastAsia="仿宋"/>
          <w:b w:val="0"/>
          <w:bCs w:val="0"/>
          <w:kern w:val="2"/>
          <w:sz w:val="32"/>
          <w:szCs w:val="30"/>
          <w:lang w:val="zh-CN" w:eastAsia="zh-CN"/>
        </w:rPr>
        <w:t>一般做市商的初始持仓限额原则上不超过下列标准：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kern w:val="2"/>
          <w:sz w:val="32"/>
          <w:szCs w:val="30"/>
          <w:lang w:val="zh-CN" w:eastAsia="zh-CN"/>
        </w:rPr>
      </w:pPr>
      <w:r>
        <w:rPr>
          <w:rFonts w:hint="eastAsia" w:ascii="仿宋" w:hAnsi="仿宋" w:eastAsia="仿宋"/>
          <w:b w:val="0"/>
          <w:bCs w:val="0"/>
          <w:kern w:val="2"/>
          <w:sz w:val="32"/>
          <w:szCs w:val="30"/>
          <w:lang w:val="zh-CN" w:eastAsia="zh-CN"/>
        </w:rPr>
        <w:t>（一）权利仓持仓限额</w:t>
      </w:r>
      <w:r>
        <w:rPr>
          <w:rFonts w:hint="eastAsia" w:ascii="仿宋" w:hAnsi="仿宋" w:eastAsia="仿宋"/>
          <w:b w:val="0"/>
          <w:bCs w:val="0"/>
          <w:kern w:val="2"/>
          <w:sz w:val="32"/>
          <w:szCs w:val="30"/>
          <w:lang w:val="en-US" w:eastAsia="zh-CN"/>
        </w:rPr>
        <w:t>1</w:t>
      </w:r>
      <w:r>
        <w:rPr>
          <w:rFonts w:hint="eastAsia" w:ascii="仿宋" w:hAnsi="仿宋" w:eastAsia="仿宋"/>
          <w:b w:val="0"/>
          <w:bCs w:val="0"/>
          <w:kern w:val="2"/>
          <w:sz w:val="32"/>
          <w:szCs w:val="30"/>
          <w:lang w:val="zh-CN" w:eastAsia="zh-CN"/>
        </w:rPr>
        <w:t>万张；</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kern w:val="2"/>
          <w:sz w:val="32"/>
          <w:szCs w:val="30"/>
          <w:lang w:val="zh-CN" w:eastAsia="zh-CN"/>
        </w:rPr>
      </w:pPr>
      <w:r>
        <w:rPr>
          <w:rFonts w:hint="eastAsia" w:ascii="仿宋" w:hAnsi="仿宋" w:eastAsia="仿宋"/>
          <w:b w:val="0"/>
          <w:bCs w:val="0"/>
          <w:kern w:val="2"/>
          <w:sz w:val="32"/>
          <w:szCs w:val="30"/>
          <w:lang w:val="zh-CN" w:eastAsia="zh-CN"/>
        </w:rPr>
        <w:t>（二）总持仓限额</w:t>
      </w:r>
      <w:r>
        <w:rPr>
          <w:rFonts w:hint="eastAsia" w:ascii="仿宋" w:hAnsi="仿宋" w:eastAsia="仿宋"/>
          <w:b w:val="0"/>
          <w:bCs w:val="0"/>
          <w:kern w:val="2"/>
          <w:sz w:val="32"/>
          <w:szCs w:val="30"/>
          <w:lang w:val="en-US" w:eastAsia="zh-CN"/>
        </w:rPr>
        <w:t>2</w:t>
      </w:r>
      <w:r>
        <w:rPr>
          <w:rFonts w:hint="eastAsia" w:ascii="仿宋" w:hAnsi="仿宋" w:eastAsia="仿宋"/>
          <w:b w:val="0"/>
          <w:bCs w:val="0"/>
          <w:kern w:val="2"/>
          <w:sz w:val="32"/>
          <w:szCs w:val="30"/>
          <w:lang w:val="zh-CN" w:eastAsia="zh-CN"/>
        </w:rPr>
        <w:t>万张；</w:t>
      </w:r>
    </w:p>
    <w:p>
      <w:pPr>
        <w:spacing w:line="560" w:lineRule="exact"/>
        <w:ind w:firstLine="420"/>
        <w:rPr>
          <w:rFonts w:ascii="仿宋" w:hAnsi="仿宋" w:eastAsia="仿宋"/>
          <w:sz w:val="32"/>
        </w:rPr>
      </w:pPr>
      <w:r>
        <w:rPr>
          <w:rFonts w:hint="eastAsia" w:ascii="仿宋" w:hAnsi="仿宋" w:eastAsia="仿宋"/>
          <w:b w:val="0"/>
          <w:bCs w:val="0"/>
          <w:kern w:val="2"/>
          <w:sz w:val="32"/>
          <w:szCs w:val="30"/>
          <w:lang w:val="zh-CN" w:eastAsia="zh-CN"/>
        </w:rPr>
        <w:t>（三）每日买入开仓限额</w:t>
      </w:r>
      <w:r>
        <w:rPr>
          <w:rFonts w:hint="eastAsia" w:ascii="仿宋" w:hAnsi="仿宋" w:eastAsia="仿宋"/>
          <w:b w:val="0"/>
          <w:bCs w:val="0"/>
          <w:kern w:val="2"/>
          <w:sz w:val="32"/>
          <w:szCs w:val="30"/>
          <w:lang w:val="en-US" w:eastAsia="zh-CN"/>
        </w:rPr>
        <w:t>5</w:t>
      </w:r>
      <w:r>
        <w:rPr>
          <w:rFonts w:hint="eastAsia" w:ascii="仿宋" w:hAnsi="仿宋" w:eastAsia="仿宋"/>
          <w:b w:val="0"/>
          <w:bCs w:val="0"/>
          <w:kern w:val="2"/>
          <w:sz w:val="32"/>
          <w:szCs w:val="30"/>
          <w:lang w:val="zh-CN" w:eastAsia="zh-CN"/>
        </w:rPr>
        <w:t>万张。</w:t>
      </w:r>
    </w:p>
    <w:p>
      <w:pPr>
        <w:pStyle w:val="4"/>
        <w:spacing w:before="0" w:line="560" w:lineRule="exact"/>
        <w:ind w:firstLine="640"/>
        <w:rPr>
          <w:rFonts w:ascii="黑体" w:hAnsi="黑体" w:eastAsia="黑体"/>
          <w:b w:val="0"/>
          <w:sz w:val="32"/>
        </w:rPr>
      </w:pPr>
      <w:bookmarkStart w:id="38" w:name="_Toc67332299"/>
      <w:bookmarkStart w:id="39" w:name="_Toc8288"/>
      <w:bookmarkStart w:id="40" w:name="_Toc22302"/>
      <w:r>
        <w:rPr>
          <w:rFonts w:hint="eastAsia" w:ascii="黑体" w:hAnsi="黑体" w:eastAsia="黑体"/>
          <w:b w:val="0"/>
          <w:sz w:val="32"/>
        </w:rPr>
        <w:t>七、指定合约做市</w:t>
      </w:r>
      <w:bookmarkEnd w:id="38"/>
      <w:bookmarkEnd w:id="39"/>
      <w:bookmarkEnd w:id="40"/>
    </w:p>
    <w:p>
      <w:pPr>
        <w:spacing w:line="560" w:lineRule="exact"/>
        <w:ind w:firstLine="640"/>
        <w:rPr>
          <w:rFonts w:ascii="仿宋" w:hAnsi="仿宋" w:eastAsia="仿宋"/>
          <w:sz w:val="32"/>
        </w:rPr>
      </w:pPr>
      <w:r>
        <w:rPr>
          <w:rFonts w:hint="eastAsia" w:ascii="仿宋" w:hAnsi="仿宋" w:eastAsia="仿宋"/>
          <w:sz w:val="32"/>
        </w:rPr>
        <w:t>对于合约品种中交易不活跃、缺乏做市商提供做市服务的合约，本所可以根据各做市商业务开展情况，指定做市商为特定期权合约提供持续报价做市服务，优先选择该合约所属合约品种的做市商。</w:t>
      </w:r>
    </w:p>
    <w:p>
      <w:pPr>
        <w:pStyle w:val="4"/>
        <w:spacing w:before="0" w:line="560" w:lineRule="exact"/>
        <w:ind w:firstLine="640"/>
        <w:rPr>
          <w:rFonts w:ascii="黑体" w:hAnsi="黑体" w:eastAsia="黑体"/>
          <w:b w:val="0"/>
          <w:sz w:val="32"/>
        </w:rPr>
      </w:pPr>
      <w:bookmarkStart w:id="41" w:name="_Toc4661"/>
      <w:bookmarkStart w:id="42" w:name="_Toc67332300"/>
      <w:bookmarkStart w:id="43" w:name="_Toc22814"/>
      <w:r>
        <w:rPr>
          <w:rFonts w:hint="eastAsia" w:ascii="黑体" w:hAnsi="黑体" w:eastAsia="黑体"/>
          <w:b w:val="0"/>
          <w:sz w:val="32"/>
        </w:rPr>
        <w:t>八、做市专用交易单元设立及权限开通</w:t>
      </w:r>
      <w:bookmarkEnd w:id="41"/>
      <w:bookmarkEnd w:id="42"/>
      <w:bookmarkEnd w:id="43"/>
    </w:p>
    <w:p>
      <w:pPr>
        <w:spacing w:line="560" w:lineRule="exact"/>
        <w:ind w:firstLine="640"/>
        <w:rPr>
          <w:rFonts w:ascii="仿宋" w:hAnsi="仿宋" w:eastAsia="仿宋"/>
          <w:sz w:val="32"/>
        </w:rPr>
      </w:pPr>
      <w:r>
        <w:rPr>
          <w:rFonts w:hint="eastAsia" w:ascii="仿宋" w:hAnsi="仿宋" w:eastAsia="仿宋"/>
          <w:sz w:val="32"/>
        </w:rPr>
        <w:t>机构首次申请为合约品种提供做市服务获得同意的，可以向本所申请设立做市专用交易单元，并申请开通期权交易权限。</w:t>
      </w:r>
      <w:r>
        <w:rPr>
          <w:rFonts w:ascii="仿宋" w:hAnsi="仿宋" w:eastAsia="仿宋"/>
          <w:sz w:val="32"/>
        </w:rPr>
        <w:t xml:space="preserve"> </w:t>
      </w:r>
    </w:p>
    <w:p>
      <w:pPr>
        <w:spacing w:line="560" w:lineRule="exact"/>
        <w:ind w:firstLine="640"/>
        <w:rPr>
          <w:rFonts w:ascii="仿宋" w:hAnsi="仿宋" w:eastAsia="仿宋"/>
          <w:sz w:val="32"/>
        </w:rPr>
      </w:pPr>
      <w:r>
        <w:rPr>
          <w:rFonts w:hint="eastAsia" w:ascii="仿宋" w:hAnsi="仿宋" w:eastAsia="仿宋"/>
          <w:sz w:val="32"/>
        </w:rPr>
        <w:t>机构设立专用交易单元可通过会员业务专区“自用交易单元开通”栏目提交交易单元设立申请（类型为“期权做市商专用交易单元”，参照《会员网上业务专区用户手册</w:t>
      </w:r>
      <w:r>
        <w:rPr>
          <w:rFonts w:ascii="仿宋" w:hAnsi="仿宋" w:eastAsia="仿宋"/>
          <w:sz w:val="32"/>
        </w:rPr>
        <w:t>V8.0</w:t>
      </w:r>
      <w:r>
        <w:rPr>
          <w:rFonts w:hint="eastAsia" w:ascii="仿宋" w:hAnsi="仿宋" w:eastAsia="仿宋"/>
          <w:sz w:val="32"/>
        </w:rPr>
        <w:t>》</w:t>
      </w:r>
      <w:r>
        <w:rPr>
          <w:rFonts w:ascii="仿宋" w:hAnsi="仿宋" w:eastAsia="仿宋"/>
          <w:sz w:val="32"/>
        </w:rPr>
        <w:t>6.2.3.1</w:t>
      </w:r>
      <w:r>
        <w:rPr>
          <w:rFonts w:hint="eastAsia" w:ascii="仿宋" w:hAnsi="仿宋" w:eastAsia="仿宋"/>
          <w:sz w:val="32"/>
        </w:rPr>
        <w:t>，以下简称《手册》，可在“会员业务专区</w:t>
      </w:r>
      <w:r>
        <w:rPr>
          <w:rFonts w:ascii="仿宋" w:hAnsi="仿宋" w:eastAsia="仿宋"/>
          <w:sz w:val="32"/>
        </w:rPr>
        <w:t>-</w:t>
      </w:r>
      <w:r>
        <w:rPr>
          <w:rFonts w:hint="eastAsia" w:ascii="仿宋" w:hAnsi="仿宋" w:eastAsia="仿宋"/>
          <w:sz w:val="32"/>
        </w:rPr>
        <w:t>业务指引”下载），本所在5个交易日内予以办理。</w:t>
      </w:r>
    </w:p>
    <w:p>
      <w:pPr>
        <w:spacing w:line="560" w:lineRule="exact"/>
        <w:ind w:firstLine="640"/>
        <w:rPr>
          <w:rFonts w:ascii="仿宋" w:hAnsi="仿宋" w:eastAsia="仿宋"/>
          <w:sz w:val="32"/>
        </w:rPr>
      </w:pPr>
      <w:r>
        <w:rPr>
          <w:rFonts w:hint="eastAsia" w:ascii="仿宋" w:hAnsi="仿宋" w:eastAsia="仿宋"/>
          <w:sz w:val="32"/>
        </w:rPr>
        <w:t>已在中国结算完成股票期权自营业务结算参与人申请、期权账户开立等工作后，机构可以登录会员业务专区，通过会员业务专区“期权交易权限开通”栏目（参照《手册》</w:t>
      </w:r>
      <w:r>
        <w:rPr>
          <w:rFonts w:ascii="仿宋" w:hAnsi="仿宋" w:eastAsia="仿宋"/>
          <w:sz w:val="32"/>
        </w:rPr>
        <w:t>6.2.3.17</w:t>
      </w:r>
      <w:r>
        <w:rPr>
          <w:rFonts w:hint="eastAsia" w:ascii="仿宋" w:hAnsi="仿宋" w:eastAsia="仿宋"/>
          <w:sz w:val="32"/>
        </w:rPr>
        <w:t>），选择拟开通期权交易权限的交易单元（类型为“期权做市商专用交易单元”），填写期权结算账号，完成后提交。</w:t>
      </w:r>
    </w:p>
    <w:p>
      <w:pPr>
        <w:spacing w:line="560" w:lineRule="exact"/>
        <w:ind w:firstLine="640"/>
        <w:rPr>
          <w:rFonts w:ascii="仿宋" w:hAnsi="仿宋" w:eastAsia="仿宋"/>
          <w:sz w:val="32"/>
        </w:rPr>
      </w:pPr>
      <w:r>
        <w:rPr>
          <w:rFonts w:hint="eastAsia" w:ascii="仿宋" w:hAnsi="仿宋" w:eastAsia="仿宋"/>
          <w:sz w:val="32"/>
        </w:rPr>
        <w:t>机构如需关闭交易单元的期权交易权限，可通过会员业务专区“期权交易权限关闭”栏目（参照《手册》</w:t>
      </w:r>
      <w:r>
        <w:rPr>
          <w:rFonts w:ascii="仿宋" w:hAnsi="仿宋" w:eastAsia="仿宋"/>
          <w:sz w:val="32"/>
        </w:rPr>
        <w:t>6.2.3.18</w:t>
      </w:r>
      <w:r>
        <w:rPr>
          <w:rFonts w:hint="eastAsia" w:ascii="仿宋" w:hAnsi="仿宋" w:eastAsia="仿宋"/>
          <w:sz w:val="32"/>
        </w:rPr>
        <w:t>）予以关闭；在交易单元中止时，也可一并关闭交易单元的期权交易权限。</w:t>
      </w:r>
    </w:p>
    <w:p>
      <w:pPr>
        <w:pStyle w:val="4"/>
        <w:spacing w:before="0" w:line="560" w:lineRule="exact"/>
        <w:ind w:firstLine="640"/>
        <w:rPr>
          <w:rFonts w:ascii="黑体" w:hAnsi="黑体" w:eastAsia="黑体"/>
          <w:b w:val="0"/>
          <w:sz w:val="32"/>
        </w:rPr>
      </w:pPr>
      <w:bookmarkStart w:id="44" w:name="_Toc1368"/>
      <w:bookmarkStart w:id="45" w:name="_Toc22500"/>
      <w:bookmarkStart w:id="46" w:name="_Toc67332301"/>
      <w:r>
        <w:rPr>
          <w:rFonts w:hint="eastAsia" w:ascii="黑体" w:hAnsi="黑体" w:eastAsia="黑体"/>
          <w:b w:val="0"/>
          <w:sz w:val="32"/>
        </w:rPr>
        <w:t>九、做市业务账户报备</w:t>
      </w:r>
      <w:bookmarkEnd w:id="44"/>
      <w:bookmarkEnd w:id="45"/>
      <w:bookmarkEnd w:id="46"/>
    </w:p>
    <w:p>
      <w:pPr>
        <w:spacing w:line="560" w:lineRule="exact"/>
        <w:ind w:firstLine="640"/>
        <w:rPr>
          <w:rFonts w:ascii="仿宋" w:hAnsi="仿宋" w:eastAsia="仿宋"/>
          <w:sz w:val="32"/>
        </w:rPr>
      </w:pPr>
      <w:r>
        <w:rPr>
          <w:rFonts w:hint="eastAsia" w:ascii="仿宋" w:hAnsi="仿宋" w:eastAsia="仿宋"/>
          <w:sz w:val="32"/>
          <w:lang w:val="zh-CN"/>
        </w:rPr>
        <w:t>做市商</w:t>
      </w:r>
      <w:r>
        <w:rPr>
          <w:rFonts w:hint="eastAsia" w:ascii="仿宋" w:hAnsi="仿宋" w:eastAsia="仿宋"/>
          <w:sz w:val="32"/>
        </w:rPr>
        <w:t>开展做市业务，应使用指定的交易单元和衍生品合约账户。做市商应在开展做市业务前10个交易日向本所报备做市业务使用的专用交易单元和衍生品合约账户，报备可以通过本所做市商业务专区进行。</w:t>
      </w:r>
    </w:p>
    <w:p>
      <w:pPr>
        <w:spacing w:line="560" w:lineRule="exact"/>
        <w:ind w:firstLine="640"/>
        <w:rPr>
          <w:rFonts w:ascii="仿宋" w:hAnsi="仿宋" w:eastAsia="仿宋"/>
          <w:sz w:val="32"/>
        </w:rPr>
      </w:pPr>
      <w:r>
        <w:rPr>
          <w:rFonts w:hint="eastAsia" w:ascii="仿宋" w:hAnsi="仿宋" w:eastAsia="仿宋"/>
          <w:sz w:val="32"/>
        </w:rPr>
        <w:t>做市商变更上述指定交易单元和账户的，应通过做市商业务专区提前</w:t>
      </w:r>
      <w:r>
        <w:rPr>
          <w:rFonts w:ascii="仿宋" w:hAnsi="仿宋" w:eastAsia="仿宋"/>
          <w:sz w:val="32"/>
        </w:rPr>
        <w:t>15</w:t>
      </w:r>
      <w:r>
        <w:rPr>
          <w:rFonts w:hint="eastAsia" w:ascii="仿宋" w:hAnsi="仿宋" w:eastAsia="仿宋"/>
          <w:sz w:val="32"/>
        </w:rPr>
        <w:t>个交易日向本所报备，经本所确认后实施。未经本所允许，不得变更上述账户信息。原账户自新账户启用之日起调整为普通自营账户持仓限额标准。</w:t>
      </w:r>
    </w:p>
    <w:p>
      <w:pPr>
        <w:spacing w:line="560" w:lineRule="exact"/>
        <w:ind w:firstLine="640"/>
        <w:rPr>
          <w:rFonts w:ascii="仿宋" w:hAnsi="仿宋" w:eastAsia="仿宋"/>
          <w:sz w:val="32"/>
        </w:rPr>
      </w:pPr>
      <w:r>
        <w:rPr>
          <w:rFonts w:hint="eastAsia" w:ascii="仿宋" w:hAnsi="仿宋" w:eastAsia="仿宋"/>
          <w:sz w:val="32"/>
        </w:rPr>
        <w:t>做市商不得利用指定从事做市业务的衍生品合约账户开展方向性交易、投机炒作等非做市业务。</w:t>
      </w:r>
    </w:p>
    <w:p>
      <w:pPr>
        <w:pStyle w:val="4"/>
        <w:spacing w:before="0" w:line="560" w:lineRule="exact"/>
        <w:ind w:firstLine="640"/>
        <w:rPr>
          <w:rFonts w:ascii="黑体" w:hAnsi="黑体" w:eastAsia="黑体"/>
          <w:b w:val="0"/>
          <w:sz w:val="32"/>
        </w:rPr>
      </w:pPr>
      <w:bookmarkStart w:id="47" w:name="_Toc8316"/>
      <w:bookmarkStart w:id="48" w:name="_Toc67332302"/>
      <w:bookmarkStart w:id="49" w:name="_Toc14572"/>
      <w:r>
        <w:rPr>
          <w:rFonts w:hint="eastAsia" w:ascii="黑体" w:hAnsi="黑体" w:eastAsia="黑体"/>
          <w:b w:val="0"/>
          <w:sz w:val="32"/>
        </w:rPr>
        <w:t>十、签订做市协议</w:t>
      </w:r>
      <w:bookmarkEnd w:id="47"/>
      <w:bookmarkEnd w:id="48"/>
      <w:bookmarkEnd w:id="49"/>
    </w:p>
    <w:p>
      <w:pPr>
        <w:spacing w:line="560" w:lineRule="exact"/>
        <w:ind w:firstLine="640"/>
        <w:rPr>
          <w:rFonts w:ascii="仿宋" w:hAnsi="仿宋" w:eastAsia="仿宋"/>
          <w:sz w:val="32"/>
        </w:rPr>
      </w:pPr>
      <w:r>
        <w:rPr>
          <w:rFonts w:hint="eastAsia" w:ascii="仿宋" w:hAnsi="仿宋" w:eastAsia="仿宋"/>
          <w:sz w:val="32"/>
        </w:rPr>
        <w:t>做市商应在收到本所通知之日起</w:t>
      </w:r>
      <w:r>
        <w:rPr>
          <w:rFonts w:ascii="仿宋" w:hAnsi="仿宋" w:eastAsia="仿宋"/>
          <w:sz w:val="32"/>
        </w:rPr>
        <w:t>5</w:t>
      </w:r>
      <w:r>
        <w:rPr>
          <w:rFonts w:hint="eastAsia" w:ascii="仿宋" w:hAnsi="仿宋" w:eastAsia="仿宋"/>
          <w:sz w:val="32"/>
        </w:rPr>
        <w:t>个交易日内与本所签订做市协议（模板见附件4）。未签订做市协议的，不得开展做市业务。若对协议内容有补充或变更，须签订补充协议。</w:t>
      </w:r>
    </w:p>
    <w:p>
      <w:pPr>
        <w:pStyle w:val="4"/>
        <w:spacing w:before="0" w:line="560" w:lineRule="exact"/>
        <w:ind w:firstLine="640"/>
        <w:rPr>
          <w:rFonts w:ascii="黑体" w:hAnsi="黑体" w:eastAsia="黑体"/>
          <w:b w:val="0"/>
          <w:sz w:val="32"/>
        </w:rPr>
      </w:pPr>
      <w:bookmarkStart w:id="50" w:name="_Toc67332303"/>
      <w:bookmarkStart w:id="51" w:name="_Toc31413"/>
      <w:bookmarkStart w:id="52" w:name="_Toc17943"/>
      <w:r>
        <w:rPr>
          <w:rFonts w:hint="eastAsia" w:ascii="黑体" w:hAnsi="黑体" w:eastAsia="黑体"/>
          <w:b w:val="0"/>
          <w:sz w:val="32"/>
        </w:rPr>
        <w:t>十一、主动申请终止合约品种做市</w:t>
      </w:r>
      <w:bookmarkEnd w:id="50"/>
      <w:bookmarkEnd w:id="51"/>
      <w:bookmarkEnd w:id="52"/>
    </w:p>
    <w:p>
      <w:pPr>
        <w:spacing w:line="560" w:lineRule="exact"/>
        <w:ind w:firstLine="640"/>
        <w:rPr>
          <w:rFonts w:ascii="仿宋" w:hAnsi="仿宋" w:eastAsia="仿宋"/>
          <w:sz w:val="32"/>
        </w:rPr>
      </w:pPr>
      <w:r>
        <w:rPr>
          <w:rFonts w:hint="eastAsia" w:ascii="仿宋" w:hAnsi="仿宋" w:eastAsia="仿宋"/>
          <w:sz w:val="32"/>
        </w:rPr>
        <w:t>做市商主动申请终止对其做市的全部或者部分合约品种提供做市服务，应提前</w:t>
      </w:r>
      <w:r>
        <w:rPr>
          <w:rFonts w:ascii="仿宋" w:hAnsi="仿宋" w:eastAsia="仿宋"/>
          <w:sz w:val="32"/>
        </w:rPr>
        <w:t>15</w:t>
      </w:r>
      <w:r>
        <w:rPr>
          <w:rFonts w:hint="eastAsia" w:ascii="仿宋" w:hAnsi="仿宋" w:eastAsia="仿宋"/>
          <w:sz w:val="32"/>
        </w:rPr>
        <w:t>个交易日以书面形式向本所提交经法定代表人签字并加盖单位公章的取消做市业务申请书，须注明申请终止的原因和生效时间，经本所确认后终止，做市协议同时终止。</w:t>
      </w:r>
    </w:p>
    <w:p>
      <w:pPr>
        <w:spacing w:line="560" w:lineRule="exact"/>
        <w:ind w:firstLine="640"/>
        <w:rPr>
          <w:rFonts w:ascii="仿宋" w:hAnsi="仿宋" w:eastAsia="仿宋"/>
          <w:sz w:val="32"/>
        </w:rPr>
      </w:pPr>
      <w:r>
        <w:rPr>
          <w:rFonts w:hint="eastAsia" w:ascii="仿宋" w:hAnsi="仿宋" w:eastAsia="仿宋"/>
          <w:sz w:val="32"/>
        </w:rPr>
        <w:t>做市商主动申请终止对合约品种提供做市服务的，</w:t>
      </w:r>
      <w:r>
        <w:rPr>
          <w:rFonts w:ascii="仿宋" w:hAnsi="仿宋" w:eastAsia="仿宋"/>
          <w:sz w:val="32"/>
        </w:rPr>
        <w:t>1</w:t>
      </w:r>
      <w:r>
        <w:rPr>
          <w:rFonts w:hint="eastAsia" w:ascii="仿宋" w:hAnsi="仿宋" w:eastAsia="仿宋"/>
          <w:sz w:val="32"/>
        </w:rPr>
        <w:t>年以内不得重新申请对同一合约品种提供做市服务。</w:t>
      </w:r>
    </w:p>
    <w:p>
      <w:pPr>
        <w:spacing w:line="560" w:lineRule="exact"/>
        <w:ind w:firstLine="640"/>
        <w:rPr>
          <w:rFonts w:ascii="仿宋" w:hAnsi="仿宋"/>
          <w:sz w:val="32"/>
        </w:rPr>
      </w:pPr>
      <w:r>
        <w:rPr>
          <w:rFonts w:ascii="仿宋" w:hAnsi="仿宋"/>
          <w:sz w:val="32"/>
        </w:rPr>
        <w:br w:type="page"/>
      </w:r>
    </w:p>
    <w:p>
      <w:pPr>
        <w:pStyle w:val="3"/>
        <w:spacing w:before="204" w:beforeLines="50" w:after="204" w:afterLines="50" w:line="560" w:lineRule="exact"/>
        <w:ind w:firstLine="0" w:firstLineChars="0"/>
        <w:jc w:val="center"/>
        <w:outlineLvl w:val="0"/>
        <w:rPr>
          <w:rFonts w:ascii="黑体" w:hAnsi="黑体" w:eastAsia="黑体"/>
          <w:bCs/>
          <w:sz w:val="32"/>
        </w:rPr>
      </w:pPr>
      <w:bookmarkStart w:id="53" w:name="_Toc67332304"/>
      <w:bookmarkStart w:id="54" w:name="_Toc20456"/>
      <w:bookmarkStart w:id="55" w:name="_Toc12831"/>
      <w:r>
        <w:rPr>
          <w:rFonts w:hint="eastAsia" w:ascii="黑体" w:hAnsi="黑体" w:eastAsia="黑体"/>
          <w:bCs/>
          <w:sz w:val="32"/>
        </w:rPr>
        <w:t>第三章</w:t>
      </w:r>
      <w:r>
        <w:rPr>
          <w:rFonts w:ascii="黑体" w:hAnsi="黑体" w:eastAsia="黑体"/>
          <w:bCs/>
          <w:sz w:val="32"/>
        </w:rPr>
        <w:t xml:space="preserve"> </w:t>
      </w:r>
      <w:r>
        <w:rPr>
          <w:rFonts w:hint="eastAsia" w:ascii="黑体" w:hAnsi="黑体" w:eastAsia="黑体"/>
          <w:bCs/>
          <w:sz w:val="32"/>
        </w:rPr>
        <w:t>报价义务</w:t>
      </w:r>
      <w:bookmarkEnd w:id="53"/>
      <w:bookmarkEnd w:id="54"/>
      <w:bookmarkEnd w:id="55"/>
    </w:p>
    <w:p>
      <w:pPr>
        <w:spacing w:line="560" w:lineRule="exact"/>
        <w:ind w:firstLine="640"/>
        <w:rPr>
          <w:rFonts w:ascii="仿宋" w:hAnsi="仿宋" w:eastAsia="仿宋"/>
          <w:sz w:val="32"/>
        </w:rPr>
      </w:pPr>
      <w:r>
        <w:rPr>
          <w:rFonts w:hint="eastAsia" w:ascii="仿宋" w:hAnsi="仿宋" w:eastAsia="仿宋"/>
          <w:sz w:val="32"/>
        </w:rPr>
        <w:t>做市商开展做市业务，应符合《指引》规定的做市报价指标要求，并使用双边报价（</w:t>
      </w:r>
      <w:r>
        <w:rPr>
          <w:rFonts w:ascii="仿宋" w:hAnsi="仿宋" w:eastAsia="仿宋"/>
          <w:sz w:val="32"/>
        </w:rPr>
        <w:t>Quote</w:t>
      </w:r>
      <w:r>
        <w:rPr>
          <w:rFonts w:hint="eastAsia" w:ascii="仿宋" w:hAnsi="仿宋" w:eastAsia="仿宋"/>
          <w:sz w:val="32"/>
        </w:rPr>
        <w:t>）指令，非报价指令提交的申报不视为义务履行。</w:t>
      </w:r>
    </w:p>
    <w:p>
      <w:pPr>
        <w:pStyle w:val="4"/>
        <w:spacing w:before="0" w:line="560" w:lineRule="exact"/>
        <w:ind w:firstLine="640"/>
        <w:rPr>
          <w:rFonts w:ascii="黑体" w:hAnsi="黑体" w:eastAsia="黑体"/>
          <w:b w:val="0"/>
          <w:sz w:val="32"/>
        </w:rPr>
      </w:pPr>
      <w:bookmarkStart w:id="56" w:name="_Toc25877"/>
      <w:bookmarkStart w:id="57" w:name="_Toc20909"/>
      <w:bookmarkStart w:id="58" w:name="_Toc67332305"/>
      <w:r>
        <w:rPr>
          <w:rFonts w:hint="eastAsia" w:ascii="黑体" w:hAnsi="黑体" w:eastAsia="黑体"/>
          <w:b w:val="0"/>
          <w:sz w:val="32"/>
        </w:rPr>
        <w:t>一、最大买卖价差</w:t>
      </w:r>
      <w:bookmarkEnd w:id="56"/>
      <w:bookmarkEnd w:id="57"/>
      <w:bookmarkEnd w:id="58"/>
    </w:p>
    <w:p>
      <w:pPr>
        <w:spacing w:line="560" w:lineRule="exact"/>
        <w:ind w:firstLine="640"/>
        <w:rPr>
          <w:rFonts w:ascii="仿宋" w:hAnsi="仿宋" w:eastAsia="仿宋"/>
          <w:sz w:val="32"/>
        </w:rPr>
      </w:pPr>
      <w:r>
        <w:rPr>
          <w:rFonts w:hint="eastAsia" w:ascii="仿宋" w:hAnsi="仿宋" w:eastAsia="仿宋"/>
          <w:sz w:val="32"/>
        </w:rPr>
        <w:t>持续报价和回应报价均有最大买卖价差要求。根据期权合约到期日不同，设定不同的买卖价差：近月合约的最大买卖价差为</w:t>
      </w:r>
      <w:r>
        <w:rPr>
          <w:rFonts w:ascii="仿宋" w:hAnsi="仿宋" w:eastAsia="仿宋"/>
          <w:sz w:val="32"/>
        </w:rPr>
        <w:t>max(</w:t>
      </w:r>
      <w:r>
        <w:rPr>
          <w:rFonts w:hint="eastAsia" w:ascii="仿宋" w:hAnsi="仿宋" w:eastAsia="仿宋"/>
          <w:sz w:val="32"/>
        </w:rPr>
        <w:t>买价的</w:t>
      </w:r>
      <w:r>
        <w:rPr>
          <w:rFonts w:ascii="仿宋" w:hAnsi="仿宋" w:eastAsia="仿宋"/>
          <w:sz w:val="32"/>
        </w:rPr>
        <w:t>10</w:t>
      </w:r>
      <w:r>
        <w:rPr>
          <w:rFonts w:hint="eastAsia" w:ascii="仿宋" w:hAnsi="仿宋" w:eastAsia="仿宋"/>
          <w:sz w:val="32"/>
        </w:rPr>
        <w:t>％，</w:t>
      </w:r>
      <w:r>
        <w:rPr>
          <w:rFonts w:ascii="仿宋" w:hAnsi="仿宋" w:eastAsia="仿宋"/>
          <w:sz w:val="32"/>
        </w:rPr>
        <w:t>0.0025</w:t>
      </w:r>
      <w:r>
        <w:rPr>
          <w:rFonts w:hint="eastAsia" w:ascii="仿宋" w:hAnsi="仿宋" w:eastAsia="仿宋"/>
          <w:sz w:val="32"/>
        </w:rPr>
        <w:t>元</w:t>
      </w:r>
      <w:r>
        <w:rPr>
          <w:rFonts w:ascii="仿宋" w:hAnsi="仿宋" w:eastAsia="仿宋"/>
          <w:sz w:val="32"/>
        </w:rPr>
        <w:t>)</w:t>
      </w:r>
      <w:r>
        <w:rPr>
          <w:rFonts w:hint="eastAsia" w:ascii="仿宋" w:hAnsi="仿宋" w:eastAsia="仿宋"/>
          <w:sz w:val="32"/>
        </w:rPr>
        <w:t>；远月合约最大买卖价差为</w:t>
      </w:r>
      <w:r>
        <w:rPr>
          <w:rFonts w:ascii="仿宋" w:hAnsi="仿宋" w:eastAsia="仿宋"/>
          <w:sz w:val="32"/>
        </w:rPr>
        <w:t>max(</w:t>
      </w:r>
      <w:r>
        <w:rPr>
          <w:rFonts w:hint="eastAsia" w:ascii="仿宋" w:hAnsi="仿宋" w:eastAsia="仿宋"/>
          <w:sz w:val="32"/>
        </w:rPr>
        <w:t>买价的</w:t>
      </w:r>
      <w:r>
        <w:rPr>
          <w:rFonts w:ascii="仿宋" w:hAnsi="仿宋" w:eastAsia="仿宋"/>
          <w:sz w:val="32"/>
        </w:rPr>
        <w:t>20</w:t>
      </w:r>
      <w:r>
        <w:rPr>
          <w:rFonts w:hint="eastAsia" w:ascii="仿宋" w:hAnsi="仿宋" w:eastAsia="仿宋"/>
          <w:sz w:val="32"/>
        </w:rPr>
        <w:t>％，</w:t>
      </w:r>
      <w:r>
        <w:rPr>
          <w:rFonts w:ascii="仿宋" w:hAnsi="仿宋" w:eastAsia="仿宋"/>
          <w:sz w:val="32"/>
        </w:rPr>
        <w:t>0.0025</w:t>
      </w:r>
      <w:r>
        <w:rPr>
          <w:rFonts w:hint="eastAsia" w:ascii="仿宋" w:hAnsi="仿宋" w:eastAsia="仿宋"/>
          <w:sz w:val="32"/>
        </w:rPr>
        <w:t>元</w:t>
      </w:r>
      <w:r>
        <w:rPr>
          <w:rFonts w:ascii="仿宋" w:hAnsi="仿宋" w:eastAsia="仿宋"/>
          <w:sz w:val="32"/>
        </w:rPr>
        <w:t>)</w:t>
      </w:r>
      <w:r>
        <w:rPr>
          <w:rFonts w:hint="eastAsia" w:ascii="仿宋" w:hAnsi="仿宋" w:eastAsia="仿宋"/>
          <w:sz w:val="32"/>
        </w:rPr>
        <w:t>。</w:t>
      </w:r>
    </w:p>
    <w:p>
      <w:pPr>
        <w:pStyle w:val="4"/>
        <w:spacing w:before="0" w:line="560" w:lineRule="exact"/>
        <w:ind w:firstLine="640"/>
        <w:rPr>
          <w:rFonts w:ascii="黑体" w:hAnsi="黑体" w:eastAsia="黑体"/>
          <w:b w:val="0"/>
          <w:sz w:val="32"/>
        </w:rPr>
      </w:pPr>
      <w:bookmarkStart w:id="59" w:name="_Toc6532"/>
      <w:bookmarkStart w:id="60" w:name="_Toc67332306"/>
      <w:bookmarkStart w:id="61" w:name="_Toc31216"/>
      <w:r>
        <w:rPr>
          <w:rFonts w:hint="eastAsia" w:ascii="黑体" w:hAnsi="黑体" w:eastAsia="黑体"/>
          <w:b w:val="0"/>
          <w:sz w:val="32"/>
        </w:rPr>
        <w:t>二、最小报价数量</w:t>
      </w:r>
      <w:bookmarkEnd w:id="59"/>
      <w:bookmarkEnd w:id="60"/>
      <w:bookmarkEnd w:id="61"/>
    </w:p>
    <w:p>
      <w:pPr>
        <w:spacing w:line="560" w:lineRule="exact"/>
        <w:ind w:firstLine="640"/>
        <w:rPr>
          <w:rFonts w:ascii="仿宋" w:hAnsi="仿宋" w:eastAsia="仿宋"/>
          <w:sz w:val="32"/>
        </w:rPr>
      </w:pPr>
      <w:r>
        <w:rPr>
          <w:rFonts w:hint="eastAsia" w:ascii="仿宋" w:hAnsi="仿宋" w:eastAsia="仿宋"/>
          <w:sz w:val="32"/>
        </w:rPr>
        <w:t>持续报价和回应报价均有最小报价数量要求。连续竞价期间的最小报价数量为</w:t>
      </w:r>
      <w:r>
        <w:rPr>
          <w:rFonts w:ascii="仿宋" w:hAnsi="仿宋" w:eastAsia="仿宋"/>
          <w:sz w:val="32"/>
        </w:rPr>
        <w:t>10</w:t>
      </w:r>
      <w:r>
        <w:rPr>
          <w:rFonts w:hint="eastAsia" w:ascii="仿宋" w:hAnsi="仿宋" w:eastAsia="仿宋"/>
          <w:sz w:val="32"/>
        </w:rPr>
        <w:t>张；集合竞价期间的最小报价数量为</w:t>
      </w:r>
      <w:r>
        <w:rPr>
          <w:rFonts w:ascii="仿宋" w:hAnsi="仿宋" w:eastAsia="仿宋"/>
          <w:sz w:val="32"/>
        </w:rPr>
        <w:t>1</w:t>
      </w:r>
      <w:r>
        <w:rPr>
          <w:rFonts w:hint="eastAsia" w:ascii="仿宋" w:hAnsi="仿宋" w:eastAsia="仿宋"/>
          <w:sz w:val="32"/>
        </w:rPr>
        <w:t>张。</w:t>
      </w:r>
    </w:p>
    <w:p>
      <w:pPr>
        <w:spacing w:line="560" w:lineRule="exact"/>
        <w:ind w:firstLine="640"/>
        <w:rPr>
          <w:rFonts w:ascii="仿宋" w:hAnsi="仿宋" w:eastAsia="仿宋"/>
          <w:sz w:val="32"/>
        </w:rPr>
      </w:pPr>
      <w:r>
        <w:rPr>
          <w:rFonts w:hint="eastAsia" w:ascii="仿宋" w:hAnsi="仿宋" w:eastAsia="仿宋"/>
          <w:sz w:val="32"/>
        </w:rPr>
        <w:t>有效双边报价（以下简称有效报价）是指满足上述最大买卖价差要求和最小报价数量要求的报价。</w:t>
      </w:r>
    </w:p>
    <w:p>
      <w:pPr>
        <w:pStyle w:val="4"/>
        <w:spacing w:before="0" w:line="560" w:lineRule="exact"/>
        <w:ind w:firstLine="640"/>
        <w:rPr>
          <w:rFonts w:ascii="黑体" w:hAnsi="黑体" w:eastAsia="黑体"/>
          <w:b w:val="0"/>
          <w:sz w:val="32"/>
        </w:rPr>
      </w:pPr>
      <w:bookmarkStart w:id="62" w:name="_Toc17964"/>
      <w:bookmarkStart w:id="63" w:name="_Toc6705"/>
      <w:bookmarkStart w:id="64" w:name="_Toc67332307"/>
      <w:r>
        <w:rPr>
          <w:rFonts w:hint="eastAsia" w:ascii="黑体" w:hAnsi="黑体" w:eastAsia="黑体"/>
          <w:b w:val="0"/>
          <w:sz w:val="32"/>
        </w:rPr>
        <w:t>三、合约覆盖率</w:t>
      </w:r>
      <w:bookmarkEnd w:id="62"/>
      <w:bookmarkEnd w:id="63"/>
      <w:bookmarkEnd w:id="64"/>
    </w:p>
    <w:p>
      <w:pPr>
        <w:spacing w:line="560" w:lineRule="exact"/>
        <w:ind w:firstLine="640"/>
        <w:rPr>
          <w:rFonts w:ascii="仿宋" w:hAnsi="仿宋" w:eastAsia="仿宋"/>
          <w:sz w:val="32"/>
        </w:rPr>
      </w:pPr>
      <w:r>
        <w:rPr>
          <w:rFonts w:hint="eastAsia" w:ascii="仿宋" w:hAnsi="仿宋" w:eastAsia="仿宋"/>
          <w:sz w:val="32"/>
        </w:rPr>
        <w:t>持续报价有合约覆盖率要求。主做市商开盘集合竞价期间有效报价的合约与总合约数量的比率（以下简称合约覆盖率）应不低于</w:t>
      </w:r>
      <w:r>
        <w:rPr>
          <w:rFonts w:ascii="仿宋" w:hAnsi="仿宋" w:eastAsia="仿宋"/>
          <w:sz w:val="32"/>
        </w:rPr>
        <w:t>50%</w:t>
      </w:r>
      <w:r>
        <w:rPr>
          <w:rFonts w:hint="eastAsia" w:ascii="仿宋" w:hAnsi="仿宋" w:eastAsia="仿宋"/>
          <w:sz w:val="32"/>
        </w:rPr>
        <w:t>，收盘集合竞价期间合约覆盖率应不低于</w:t>
      </w:r>
      <w:r>
        <w:rPr>
          <w:rFonts w:ascii="仿宋" w:hAnsi="仿宋" w:eastAsia="仿宋"/>
          <w:sz w:val="32"/>
        </w:rPr>
        <w:t>80%</w:t>
      </w:r>
      <w:r>
        <w:rPr>
          <w:rFonts w:hint="eastAsia" w:ascii="仿宋" w:hAnsi="仿宋" w:eastAsia="仿宋"/>
          <w:sz w:val="32"/>
        </w:rPr>
        <w:t>。例如在一个合约品种有80个合约的情况下，主做市商应至少为40个期权合约提供开盘集合竞价的有效报价，至少为64个期权合约提供收盘集合竞价的有效报价。</w:t>
      </w:r>
    </w:p>
    <w:p>
      <w:pPr>
        <w:spacing w:line="560" w:lineRule="exact"/>
        <w:ind w:firstLine="640"/>
        <w:rPr>
          <w:rFonts w:ascii="仿宋" w:hAnsi="仿宋" w:eastAsia="仿宋"/>
          <w:sz w:val="32"/>
        </w:rPr>
      </w:pPr>
      <w:r>
        <w:rPr>
          <w:rFonts w:hint="eastAsia" w:ascii="仿宋" w:hAnsi="仿宋" w:eastAsia="仿宋"/>
          <w:sz w:val="32"/>
        </w:rPr>
        <w:t>上述持续报价合约覆盖率包括发生调整的合约。</w:t>
      </w:r>
    </w:p>
    <w:p>
      <w:pPr>
        <w:pStyle w:val="4"/>
        <w:spacing w:before="0" w:line="560" w:lineRule="exact"/>
        <w:ind w:firstLine="640"/>
        <w:rPr>
          <w:rFonts w:ascii="黑体" w:hAnsi="黑体" w:eastAsia="黑体"/>
          <w:b w:val="0"/>
          <w:sz w:val="32"/>
        </w:rPr>
      </w:pPr>
      <w:bookmarkStart w:id="65" w:name="_Toc67332308"/>
      <w:bookmarkStart w:id="66" w:name="_Toc26947"/>
      <w:bookmarkStart w:id="67" w:name="_Toc27778"/>
      <w:r>
        <w:rPr>
          <w:rFonts w:hint="eastAsia" w:ascii="黑体" w:hAnsi="黑体" w:eastAsia="黑体"/>
          <w:b w:val="0"/>
          <w:sz w:val="32"/>
        </w:rPr>
        <w:t>四、最长回应时限</w:t>
      </w:r>
      <w:bookmarkEnd w:id="65"/>
      <w:bookmarkEnd w:id="66"/>
      <w:bookmarkEnd w:id="67"/>
    </w:p>
    <w:p>
      <w:pPr>
        <w:spacing w:line="560" w:lineRule="exact"/>
        <w:ind w:firstLine="640"/>
        <w:rPr>
          <w:rFonts w:ascii="仿宋" w:hAnsi="仿宋" w:eastAsia="仿宋"/>
          <w:sz w:val="32"/>
        </w:rPr>
      </w:pPr>
      <w:r>
        <w:rPr>
          <w:rFonts w:hint="eastAsia" w:ascii="仿宋" w:hAnsi="仿宋" w:eastAsia="仿宋"/>
          <w:sz w:val="32"/>
        </w:rPr>
        <w:t>回应报价有最长回应时限要求。做市商应在收到客户询价</w:t>
      </w:r>
      <w:r>
        <w:rPr>
          <w:rFonts w:ascii="仿宋" w:hAnsi="仿宋" w:eastAsia="仿宋"/>
          <w:sz w:val="32"/>
        </w:rPr>
        <w:t>15</w:t>
      </w:r>
      <w:r>
        <w:rPr>
          <w:rFonts w:hint="eastAsia" w:ascii="仿宋" w:hAnsi="仿宋" w:eastAsia="仿宋"/>
          <w:sz w:val="32"/>
        </w:rPr>
        <w:t>秒以内给出回应报价，回应报价应满足上述有效报价要求。如果询价时做市商已经提供了有效报价，则视为即刻开始回应。</w:t>
      </w:r>
    </w:p>
    <w:p>
      <w:pPr>
        <w:pStyle w:val="4"/>
        <w:spacing w:before="0" w:line="560" w:lineRule="exact"/>
        <w:ind w:firstLine="640"/>
        <w:rPr>
          <w:rFonts w:ascii="黑体" w:hAnsi="黑体" w:eastAsia="黑体"/>
          <w:b w:val="0"/>
          <w:sz w:val="32"/>
        </w:rPr>
      </w:pPr>
      <w:bookmarkStart w:id="68" w:name="_Toc12299"/>
      <w:bookmarkStart w:id="69" w:name="_Toc67332309"/>
      <w:bookmarkStart w:id="70" w:name="_Toc8630"/>
      <w:r>
        <w:rPr>
          <w:rFonts w:hint="eastAsia" w:ascii="黑体" w:hAnsi="黑体" w:eastAsia="黑体"/>
          <w:b w:val="0"/>
          <w:sz w:val="32"/>
        </w:rPr>
        <w:t>五、最短保留时间</w:t>
      </w:r>
      <w:bookmarkEnd w:id="68"/>
      <w:bookmarkEnd w:id="69"/>
      <w:bookmarkEnd w:id="70"/>
    </w:p>
    <w:p>
      <w:pPr>
        <w:spacing w:line="560" w:lineRule="exact"/>
        <w:ind w:firstLine="640"/>
        <w:rPr>
          <w:rFonts w:ascii="仿宋" w:hAnsi="仿宋" w:eastAsia="仿宋"/>
          <w:sz w:val="32"/>
        </w:rPr>
      </w:pPr>
      <w:r>
        <w:rPr>
          <w:rFonts w:hint="eastAsia" w:ascii="仿宋" w:hAnsi="仿宋" w:eastAsia="仿宋"/>
          <w:sz w:val="32"/>
        </w:rPr>
        <w:t>回应报价有最短保留时间要求。在没有被成交的情况下，做市商回应报价保留的最短时间为</w:t>
      </w:r>
      <w:r>
        <w:rPr>
          <w:rFonts w:ascii="仿宋" w:hAnsi="仿宋" w:eastAsia="仿宋"/>
          <w:sz w:val="32"/>
        </w:rPr>
        <w:t>15</w:t>
      </w:r>
      <w:r>
        <w:rPr>
          <w:rFonts w:hint="eastAsia" w:ascii="仿宋" w:hAnsi="仿宋" w:eastAsia="仿宋"/>
          <w:sz w:val="32"/>
        </w:rPr>
        <w:t>秒，期间可以更改报价，但更改后的报价仍须为有效报价。</w:t>
      </w:r>
    </w:p>
    <w:p>
      <w:pPr>
        <w:spacing w:line="560" w:lineRule="exact"/>
        <w:ind w:firstLine="640"/>
        <w:rPr>
          <w:rFonts w:ascii="仿宋" w:hAnsi="仿宋" w:eastAsia="仿宋"/>
          <w:sz w:val="32"/>
        </w:rPr>
      </w:pPr>
      <w:r>
        <w:rPr>
          <w:rFonts w:hint="eastAsia" w:ascii="仿宋" w:hAnsi="仿宋" w:eastAsia="仿宋"/>
          <w:sz w:val="32"/>
        </w:rPr>
        <w:t>有效回应是指满足上述最长回应时限要求和最短保留时间要求的回应报价。</w:t>
      </w:r>
    </w:p>
    <w:p>
      <w:pPr>
        <w:pStyle w:val="4"/>
        <w:spacing w:before="0" w:line="560" w:lineRule="exact"/>
        <w:ind w:firstLine="640"/>
        <w:rPr>
          <w:rFonts w:ascii="黑体" w:hAnsi="黑体" w:eastAsia="黑体"/>
          <w:b w:val="0"/>
          <w:sz w:val="32"/>
        </w:rPr>
      </w:pPr>
      <w:bookmarkStart w:id="71" w:name="_Toc16918"/>
      <w:bookmarkStart w:id="72" w:name="_Toc67332310"/>
      <w:bookmarkStart w:id="73" w:name="_Toc13623"/>
      <w:r>
        <w:rPr>
          <w:rFonts w:hint="eastAsia" w:ascii="黑体" w:hAnsi="黑体" w:eastAsia="黑体"/>
          <w:b w:val="0"/>
          <w:sz w:val="32"/>
        </w:rPr>
        <w:t>六、回应报价参与率</w:t>
      </w:r>
      <w:bookmarkEnd w:id="71"/>
      <w:bookmarkEnd w:id="72"/>
      <w:bookmarkEnd w:id="73"/>
    </w:p>
    <w:p>
      <w:pPr>
        <w:spacing w:line="560" w:lineRule="exact"/>
        <w:ind w:firstLine="640"/>
        <w:rPr>
          <w:rFonts w:ascii="仿宋" w:hAnsi="仿宋"/>
          <w:sz w:val="32"/>
        </w:rPr>
      </w:pPr>
      <w:r>
        <w:rPr>
          <w:rFonts w:hint="eastAsia" w:ascii="仿宋" w:hAnsi="仿宋" w:eastAsia="仿宋"/>
          <w:sz w:val="32"/>
        </w:rPr>
        <w:t>回应报价有参与率要求。做市商有效回应的次数与询价总次数的比率应不低于</w:t>
      </w:r>
      <w:r>
        <w:rPr>
          <w:rFonts w:ascii="仿宋" w:hAnsi="仿宋" w:eastAsia="仿宋"/>
          <w:sz w:val="32"/>
        </w:rPr>
        <w:t>70%</w:t>
      </w:r>
      <w:r>
        <w:rPr>
          <w:rFonts w:hint="eastAsia" w:ascii="仿宋" w:hAnsi="仿宋" w:eastAsia="仿宋"/>
          <w:sz w:val="32"/>
        </w:rPr>
        <w:t>。</w:t>
      </w:r>
    </w:p>
    <w:p>
      <w:pPr>
        <w:spacing w:line="560" w:lineRule="exact"/>
        <w:ind w:firstLine="640"/>
        <w:rPr>
          <w:rFonts w:ascii="仿宋" w:hAnsi="仿宋"/>
          <w:sz w:val="32"/>
        </w:rPr>
      </w:pPr>
      <w:r>
        <w:rPr>
          <w:rFonts w:ascii="仿宋" w:hAnsi="仿宋"/>
          <w:sz w:val="32"/>
        </w:rPr>
        <w:br w:type="page"/>
      </w:r>
    </w:p>
    <w:p>
      <w:pPr>
        <w:pStyle w:val="3"/>
        <w:spacing w:before="204" w:beforeLines="50" w:after="204" w:afterLines="50" w:line="560" w:lineRule="exact"/>
        <w:ind w:firstLine="0" w:firstLineChars="0"/>
        <w:jc w:val="center"/>
        <w:outlineLvl w:val="0"/>
        <w:rPr>
          <w:rFonts w:ascii="黑体" w:hAnsi="黑体" w:eastAsia="黑体"/>
          <w:bCs/>
          <w:sz w:val="32"/>
        </w:rPr>
      </w:pPr>
      <w:bookmarkStart w:id="74" w:name="_Toc5038"/>
      <w:bookmarkStart w:id="75" w:name="_Toc7193"/>
      <w:bookmarkStart w:id="76" w:name="_Toc67332311"/>
      <w:r>
        <w:rPr>
          <w:rFonts w:hint="eastAsia" w:ascii="黑体" w:hAnsi="黑体" w:eastAsia="黑体"/>
          <w:bCs/>
          <w:sz w:val="32"/>
        </w:rPr>
        <w:t>第四章</w:t>
      </w:r>
      <w:r>
        <w:rPr>
          <w:rFonts w:ascii="黑体" w:hAnsi="黑体" w:eastAsia="黑体"/>
          <w:bCs/>
          <w:sz w:val="32"/>
        </w:rPr>
        <w:t xml:space="preserve"> </w:t>
      </w:r>
      <w:r>
        <w:rPr>
          <w:rFonts w:hint="eastAsia" w:ascii="黑体" w:hAnsi="黑体" w:eastAsia="黑体"/>
          <w:bCs/>
          <w:sz w:val="32"/>
        </w:rPr>
        <w:t>权利</w:t>
      </w:r>
      <w:bookmarkEnd w:id="74"/>
      <w:bookmarkEnd w:id="75"/>
      <w:bookmarkEnd w:id="76"/>
    </w:p>
    <w:p>
      <w:pPr>
        <w:spacing w:line="560" w:lineRule="exact"/>
        <w:ind w:firstLine="640"/>
        <w:rPr>
          <w:rFonts w:ascii="仿宋" w:hAnsi="仿宋" w:eastAsia="仿宋"/>
          <w:sz w:val="32"/>
        </w:rPr>
      </w:pPr>
      <w:r>
        <w:rPr>
          <w:rFonts w:hint="eastAsia" w:ascii="仿宋" w:hAnsi="仿宋" w:eastAsia="仿宋"/>
          <w:sz w:val="32"/>
        </w:rPr>
        <w:t>做市商根据《指引》及做市协议，在承担做市义务的同时享有一定的权利，包括申请提高持仓限额以及做市义务豁免等。</w:t>
      </w:r>
    </w:p>
    <w:p>
      <w:pPr>
        <w:pStyle w:val="4"/>
        <w:spacing w:before="0" w:line="560" w:lineRule="exact"/>
        <w:ind w:firstLine="640"/>
        <w:rPr>
          <w:rFonts w:ascii="黑体" w:hAnsi="黑体" w:eastAsia="黑体"/>
          <w:b w:val="0"/>
          <w:sz w:val="32"/>
        </w:rPr>
      </w:pPr>
      <w:bookmarkStart w:id="77" w:name="_Toc15222"/>
      <w:bookmarkStart w:id="78" w:name="_Toc28331"/>
      <w:bookmarkStart w:id="79" w:name="_Toc67332312"/>
      <w:r>
        <w:rPr>
          <w:rFonts w:hint="eastAsia" w:ascii="黑体" w:hAnsi="黑体" w:eastAsia="黑体"/>
          <w:b w:val="0"/>
          <w:sz w:val="32"/>
        </w:rPr>
        <w:t>一、申请提高持仓限额</w:t>
      </w:r>
      <w:bookmarkEnd w:id="77"/>
      <w:bookmarkEnd w:id="78"/>
      <w:bookmarkEnd w:id="79"/>
    </w:p>
    <w:p>
      <w:pPr>
        <w:spacing w:line="560" w:lineRule="exact"/>
        <w:ind w:firstLine="640"/>
        <w:rPr>
          <w:rFonts w:ascii="仿宋" w:hAnsi="仿宋" w:eastAsia="仿宋"/>
          <w:sz w:val="32"/>
          <w:lang w:val="zh-CN"/>
        </w:rPr>
      </w:pPr>
      <w:r>
        <w:rPr>
          <w:rFonts w:hint="eastAsia" w:ascii="仿宋" w:hAnsi="仿宋" w:eastAsia="仿宋"/>
          <w:sz w:val="32"/>
          <w:lang w:val="zh-CN"/>
        </w:rPr>
        <w:t>做市商根据《持仓限额指引》有关规定，为满足做市业务需申请提高做市业务持仓限额的，应当向本所提交下列申请材料：</w:t>
      </w:r>
    </w:p>
    <w:p>
      <w:pPr>
        <w:spacing w:line="560" w:lineRule="exact"/>
        <w:ind w:firstLine="640"/>
        <w:rPr>
          <w:rFonts w:ascii="仿宋" w:hAnsi="仿宋" w:eastAsia="仿宋"/>
          <w:sz w:val="32"/>
          <w:lang w:val="zh-CN"/>
        </w:rPr>
      </w:pPr>
      <w:r>
        <w:rPr>
          <w:rFonts w:hint="eastAsia" w:ascii="仿宋" w:hAnsi="仿宋" w:eastAsia="仿宋"/>
          <w:sz w:val="32"/>
          <w:lang w:val="zh-CN"/>
        </w:rPr>
        <w:t>（一）加盖做市商单位公章的申请书；</w:t>
      </w:r>
    </w:p>
    <w:p>
      <w:pPr>
        <w:spacing w:line="560" w:lineRule="exact"/>
        <w:ind w:firstLine="640"/>
        <w:rPr>
          <w:rFonts w:ascii="仿宋" w:hAnsi="仿宋" w:eastAsia="仿宋"/>
          <w:sz w:val="32"/>
          <w:lang w:val="zh-CN"/>
        </w:rPr>
      </w:pPr>
      <w:r>
        <w:rPr>
          <w:rFonts w:hint="eastAsia" w:ascii="仿宋" w:hAnsi="仿宋" w:eastAsia="仿宋"/>
          <w:sz w:val="32"/>
          <w:lang w:val="zh-CN"/>
        </w:rPr>
        <w:t>（二）持仓限额调整申请表。持仓限额申请表需经分管做市业务的公司高级管理人员及首席风控官（或合规总监）签字，并加盖做市商单位公章；</w:t>
      </w:r>
    </w:p>
    <w:p>
      <w:pPr>
        <w:spacing w:line="560" w:lineRule="exact"/>
        <w:ind w:firstLine="640"/>
        <w:rPr>
          <w:rFonts w:ascii="仿宋" w:hAnsi="仿宋" w:eastAsia="仿宋"/>
          <w:sz w:val="32"/>
          <w:lang w:val="zh-CN"/>
        </w:rPr>
      </w:pPr>
      <w:r>
        <w:rPr>
          <w:rFonts w:hint="eastAsia" w:ascii="仿宋" w:hAnsi="仿宋" w:eastAsia="仿宋"/>
          <w:sz w:val="32"/>
          <w:lang w:val="zh-CN"/>
        </w:rPr>
        <w:t>（三）最近30个交易日做市业务交易情况（包括期权、现货或期货）、风险管理情况；</w:t>
      </w:r>
    </w:p>
    <w:p>
      <w:pPr>
        <w:spacing w:line="560" w:lineRule="exact"/>
        <w:ind w:firstLine="640"/>
        <w:rPr>
          <w:rFonts w:ascii="仿宋" w:hAnsi="仿宋" w:eastAsia="仿宋"/>
          <w:sz w:val="32"/>
          <w:lang w:val="zh-CN"/>
        </w:rPr>
      </w:pPr>
      <w:r>
        <w:rPr>
          <w:rFonts w:hint="eastAsia" w:ascii="仿宋" w:hAnsi="仿宋" w:eastAsia="仿宋"/>
          <w:sz w:val="32"/>
          <w:lang w:val="zh-CN"/>
        </w:rPr>
        <w:t>（四）最近30个交易日的做市资产证明；</w:t>
      </w:r>
    </w:p>
    <w:p>
      <w:pPr>
        <w:spacing w:line="560" w:lineRule="exact"/>
        <w:ind w:firstLine="640"/>
        <w:rPr>
          <w:rFonts w:ascii="仿宋" w:hAnsi="仿宋" w:eastAsia="仿宋"/>
          <w:sz w:val="32"/>
          <w:lang w:val="zh-CN"/>
        </w:rPr>
      </w:pPr>
      <w:r>
        <w:rPr>
          <w:rFonts w:hint="eastAsia" w:ascii="仿宋" w:hAnsi="仿宋" w:eastAsia="仿宋"/>
          <w:sz w:val="32"/>
          <w:lang w:val="zh-CN"/>
        </w:rPr>
        <w:t xml:space="preserve">（五）最近30个交易日额度使用情况说明； </w:t>
      </w:r>
    </w:p>
    <w:p>
      <w:pPr>
        <w:spacing w:line="560" w:lineRule="exact"/>
        <w:ind w:firstLine="640"/>
        <w:rPr>
          <w:rFonts w:ascii="仿宋" w:hAnsi="仿宋" w:eastAsia="仿宋"/>
          <w:sz w:val="32"/>
          <w:lang w:val="zh-CN"/>
        </w:rPr>
      </w:pPr>
      <w:r>
        <w:rPr>
          <w:rFonts w:hint="eastAsia" w:ascii="仿宋" w:hAnsi="仿宋" w:eastAsia="仿宋"/>
          <w:sz w:val="32"/>
          <w:lang w:val="zh-CN"/>
        </w:rPr>
        <w:t>（六）本所要求的其他材料。</w:t>
      </w:r>
    </w:p>
    <w:p>
      <w:pPr>
        <w:spacing w:line="560" w:lineRule="exact"/>
        <w:ind w:firstLine="640"/>
        <w:rPr>
          <w:rFonts w:ascii="仿宋" w:hAnsi="仿宋" w:eastAsia="仿宋"/>
          <w:sz w:val="32"/>
        </w:rPr>
      </w:pPr>
      <w:r>
        <w:rPr>
          <w:rFonts w:hint="eastAsia" w:ascii="仿宋" w:hAnsi="仿宋" w:eastAsia="仿宋"/>
          <w:sz w:val="32"/>
        </w:rPr>
        <w:t>本所将在正式受理提高持仓限额申请后</w:t>
      </w:r>
      <w:r>
        <w:rPr>
          <w:rFonts w:ascii="仿宋" w:hAnsi="仿宋" w:eastAsia="仿宋"/>
          <w:sz w:val="32"/>
        </w:rPr>
        <w:t>10</w:t>
      </w:r>
      <w:r>
        <w:rPr>
          <w:rFonts w:hint="eastAsia" w:ascii="仿宋" w:hAnsi="仿宋" w:eastAsia="仿宋"/>
          <w:sz w:val="32"/>
        </w:rPr>
        <w:t>个交易日予以回复。回复内容包括提高持仓限额的生效日期和调整后的持仓限额。</w:t>
      </w:r>
    </w:p>
    <w:p>
      <w:pPr>
        <w:pStyle w:val="4"/>
        <w:spacing w:before="0" w:line="560" w:lineRule="exact"/>
        <w:ind w:firstLine="640"/>
        <w:rPr>
          <w:rFonts w:ascii="黑体" w:hAnsi="黑体" w:eastAsia="黑体"/>
          <w:b w:val="0"/>
          <w:sz w:val="32"/>
        </w:rPr>
      </w:pPr>
      <w:bookmarkStart w:id="80" w:name="_Toc31682"/>
      <w:bookmarkStart w:id="81" w:name="_Toc30359"/>
      <w:bookmarkStart w:id="82" w:name="_Toc67332313"/>
      <w:r>
        <w:rPr>
          <w:rFonts w:hint="eastAsia" w:ascii="黑体" w:hAnsi="黑体" w:eastAsia="黑体"/>
          <w:b w:val="0"/>
          <w:sz w:val="32"/>
        </w:rPr>
        <w:t>二、报价义务豁免</w:t>
      </w:r>
      <w:bookmarkEnd w:id="80"/>
      <w:bookmarkEnd w:id="81"/>
      <w:bookmarkEnd w:id="82"/>
    </w:p>
    <w:p>
      <w:pPr>
        <w:spacing w:line="560" w:lineRule="exact"/>
        <w:ind w:firstLine="640"/>
        <w:rPr>
          <w:rFonts w:ascii="仿宋" w:hAnsi="仿宋" w:eastAsia="仿宋"/>
          <w:sz w:val="32"/>
        </w:rPr>
      </w:pPr>
      <w:r>
        <w:rPr>
          <w:rFonts w:hint="eastAsia" w:ascii="仿宋" w:hAnsi="仿宋" w:eastAsia="仿宋"/>
          <w:sz w:val="32"/>
        </w:rPr>
        <w:t>根据《指引》，出现下列情形之一的，相应豁免做市商的做市义务：</w:t>
      </w:r>
    </w:p>
    <w:p>
      <w:pPr>
        <w:spacing w:line="560" w:lineRule="exact"/>
        <w:ind w:firstLine="640"/>
        <w:rPr>
          <w:rFonts w:ascii="仿宋" w:hAnsi="仿宋" w:eastAsia="仿宋"/>
          <w:sz w:val="32"/>
        </w:rPr>
      </w:pPr>
      <w:r>
        <w:rPr>
          <w:rFonts w:hint="eastAsia" w:ascii="仿宋" w:hAnsi="仿宋" w:eastAsia="仿宋"/>
          <w:sz w:val="32"/>
        </w:rPr>
        <w:t>（一）期权合约交易价格（即最新成交价，下同）达到涨停或者跌停价格，做市商可以仅提供单边报价；</w:t>
      </w:r>
    </w:p>
    <w:p>
      <w:pPr>
        <w:spacing w:line="560" w:lineRule="exact"/>
        <w:ind w:firstLine="640"/>
        <w:rPr>
          <w:rFonts w:ascii="仿宋" w:hAnsi="仿宋" w:eastAsia="仿宋"/>
          <w:sz w:val="32"/>
        </w:rPr>
      </w:pPr>
      <w:r>
        <w:rPr>
          <w:rFonts w:hint="eastAsia" w:ascii="仿宋" w:hAnsi="仿宋" w:eastAsia="仿宋"/>
          <w:sz w:val="32"/>
        </w:rPr>
        <w:t>（二）当合约标的为股票的期权合约的交易价格小于</w:t>
      </w:r>
      <w:r>
        <w:rPr>
          <w:rFonts w:ascii="仿宋" w:hAnsi="仿宋" w:eastAsia="仿宋"/>
          <w:sz w:val="32"/>
        </w:rPr>
        <w:t>0.005</w:t>
      </w:r>
      <w:r>
        <w:rPr>
          <w:rFonts w:hint="eastAsia" w:ascii="仿宋" w:hAnsi="仿宋" w:eastAsia="仿宋"/>
          <w:sz w:val="32"/>
        </w:rPr>
        <w:t>元，或者合约标的为交易型开放式指数基金的期权合约的交易价格小于</w:t>
      </w:r>
      <w:r>
        <w:rPr>
          <w:rFonts w:ascii="仿宋" w:hAnsi="仿宋" w:eastAsia="仿宋"/>
          <w:sz w:val="32"/>
        </w:rPr>
        <w:t>0.001</w:t>
      </w:r>
      <w:r>
        <w:rPr>
          <w:rFonts w:hint="eastAsia" w:ascii="仿宋" w:hAnsi="仿宋" w:eastAsia="仿宋"/>
          <w:sz w:val="32"/>
        </w:rPr>
        <w:t>元时，做市商可以暂停对该合约提供买入报价。缺乏交易价格的，以前结算价作为判断标准；</w:t>
      </w:r>
    </w:p>
    <w:p>
      <w:pPr>
        <w:spacing w:line="560" w:lineRule="exact"/>
        <w:ind w:firstLine="640"/>
        <w:rPr>
          <w:rFonts w:ascii="仿宋" w:hAnsi="仿宋" w:eastAsia="仿宋"/>
          <w:sz w:val="32"/>
        </w:rPr>
      </w:pPr>
      <w:r>
        <w:rPr>
          <w:rFonts w:hint="eastAsia" w:ascii="仿宋" w:hAnsi="仿宋" w:eastAsia="仿宋"/>
          <w:sz w:val="32"/>
        </w:rPr>
        <w:t>（三）因不可抗力、意外事件或者技术故障等导致无法继续提供做市服务，做市商可以暂停对部分或者全部合约品种提供做市服务，并及时向本所提交说明材料，需包括申请豁免原因和需要豁免的时间，由做市业务负责人签字并加盖公章。</w:t>
      </w:r>
    </w:p>
    <w:p>
      <w:pPr>
        <w:spacing w:line="560" w:lineRule="exact"/>
        <w:ind w:firstLine="640"/>
        <w:rPr>
          <w:rFonts w:ascii="仿宋" w:hAnsi="仿宋" w:eastAsia="仿宋"/>
          <w:sz w:val="32"/>
        </w:rPr>
      </w:pPr>
      <w:r>
        <w:rPr>
          <w:rFonts w:hint="eastAsia" w:ascii="仿宋" w:hAnsi="仿宋" w:eastAsia="仿宋"/>
          <w:sz w:val="32"/>
        </w:rPr>
        <w:t>（四）本所规定的其他情形。</w:t>
      </w:r>
    </w:p>
    <w:p>
      <w:pPr>
        <w:spacing w:line="560" w:lineRule="exact"/>
        <w:ind w:firstLine="640"/>
        <w:rPr>
          <w:rFonts w:ascii="仿宋" w:hAnsi="仿宋"/>
          <w:sz w:val="32"/>
        </w:rPr>
      </w:pPr>
      <w:r>
        <w:rPr>
          <w:rFonts w:hint="eastAsia" w:ascii="仿宋" w:hAnsi="仿宋" w:eastAsia="仿宋"/>
          <w:sz w:val="32"/>
        </w:rPr>
        <w:t>上述规定的情形消失后，做市商应立即恢复相应做市服务。</w:t>
      </w:r>
    </w:p>
    <w:p>
      <w:pPr>
        <w:spacing w:line="560" w:lineRule="exact"/>
        <w:ind w:firstLine="640"/>
        <w:rPr>
          <w:rFonts w:ascii="仿宋" w:hAnsi="仿宋"/>
          <w:sz w:val="32"/>
        </w:rPr>
      </w:pPr>
      <w:r>
        <w:rPr>
          <w:rFonts w:ascii="仿宋" w:hAnsi="仿宋"/>
          <w:sz w:val="32"/>
        </w:rPr>
        <w:br w:type="page"/>
      </w:r>
    </w:p>
    <w:p>
      <w:pPr>
        <w:pStyle w:val="3"/>
        <w:spacing w:before="204" w:beforeLines="50" w:after="204" w:afterLines="50" w:line="560" w:lineRule="exact"/>
        <w:ind w:firstLine="0" w:firstLineChars="0"/>
        <w:jc w:val="center"/>
        <w:outlineLvl w:val="0"/>
        <w:rPr>
          <w:rFonts w:ascii="黑体" w:hAnsi="黑体" w:eastAsia="黑体"/>
          <w:bCs/>
          <w:sz w:val="32"/>
        </w:rPr>
      </w:pPr>
      <w:bookmarkStart w:id="83" w:name="_Toc20578"/>
      <w:bookmarkStart w:id="84" w:name="_Toc15259"/>
      <w:bookmarkStart w:id="85" w:name="_Toc67332314"/>
      <w:r>
        <w:rPr>
          <w:rFonts w:hint="eastAsia" w:ascii="黑体" w:hAnsi="黑体" w:eastAsia="黑体"/>
          <w:bCs/>
          <w:sz w:val="32"/>
        </w:rPr>
        <w:t>第五章</w:t>
      </w:r>
      <w:r>
        <w:rPr>
          <w:rFonts w:ascii="黑体" w:hAnsi="黑体" w:eastAsia="黑体"/>
          <w:bCs/>
          <w:sz w:val="32"/>
        </w:rPr>
        <w:t xml:space="preserve"> </w:t>
      </w:r>
      <w:r>
        <w:rPr>
          <w:rFonts w:hint="eastAsia" w:ascii="黑体" w:hAnsi="黑体" w:eastAsia="黑体"/>
          <w:bCs/>
          <w:sz w:val="32"/>
        </w:rPr>
        <w:t>评价</w:t>
      </w:r>
      <w:bookmarkEnd w:id="83"/>
      <w:bookmarkEnd w:id="84"/>
      <w:bookmarkEnd w:id="85"/>
    </w:p>
    <w:p>
      <w:pPr>
        <w:pStyle w:val="4"/>
        <w:spacing w:before="0" w:line="560" w:lineRule="exact"/>
        <w:ind w:firstLine="640"/>
        <w:rPr>
          <w:rFonts w:ascii="黑体" w:hAnsi="黑体" w:eastAsia="黑体"/>
          <w:b w:val="0"/>
          <w:sz w:val="32"/>
        </w:rPr>
      </w:pPr>
      <w:bookmarkStart w:id="86" w:name="_Toc67332315"/>
      <w:bookmarkStart w:id="87" w:name="_Toc8169"/>
      <w:bookmarkStart w:id="88" w:name="_Toc32746"/>
      <w:r>
        <w:rPr>
          <w:rFonts w:hint="eastAsia" w:ascii="黑体" w:hAnsi="黑体" w:eastAsia="黑体"/>
          <w:b w:val="0"/>
          <w:sz w:val="32"/>
        </w:rPr>
        <w:t>一、评价指标</w:t>
      </w:r>
      <w:bookmarkEnd w:id="86"/>
      <w:bookmarkEnd w:id="87"/>
      <w:bookmarkEnd w:id="88"/>
    </w:p>
    <w:p>
      <w:pPr>
        <w:spacing w:line="560" w:lineRule="exact"/>
        <w:ind w:firstLine="640"/>
        <w:rPr>
          <w:rFonts w:ascii="仿宋" w:hAnsi="仿宋" w:eastAsia="仿宋"/>
          <w:sz w:val="32"/>
        </w:rPr>
      </w:pPr>
      <w:r>
        <w:rPr>
          <w:rFonts w:hint="eastAsia" w:ascii="仿宋" w:hAnsi="仿宋" w:eastAsia="仿宋"/>
          <w:sz w:val="32"/>
        </w:rPr>
        <w:t>本所对做市商的持续报价和回应报价分别进行评价，评价内容如无特别说明，仅限于符合报价义务要求的双边报价（</w:t>
      </w:r>
      <w:r>
        <w:rPr>
          <w:rFonts w:ascii="仿宋" w:hAnsi="仿宋" w:eastAsia="仿宋"/>
          <w:sz w:val="32"/>
        </w:rPr>
        <w:t>Quote</w:t>
      </w:r>
      <w:r>
        <w:rPr>
          <w:rFonts w:hint="eastAsia" w:ascii="仿宋" w:hAnsi="仿宋" w:eastAsia="仿宋"/>
          <w:sz w:val="32"/>
        </w:rPr>
        <w:t>）订单。评价指标如下：</w:t>
      </w:r>
    </w:p>
    <w:p>
      <w:pPr>
        <w:pStyle w:val="5"/>
        <w:spacing w:line="560" w:lineRule="exact"/>
        <w:ind w:firstLine="640"/>
        <w:rPr>
          <w:rFonts w:ascii="仿宋" w:hAnsi="仿宋" w:eastAsia="仿宋"/>
          <w:sz w:val="32"/>
        </w:rPr>
      </w:pPr>
      <w:r>
        <w:rPr>
          <w:rFonts w:hint="eastAsia" w:ascii="仿宋" w:hAnsi="仿宋" w:eastAsia="仿宋"/>
          <w:sz w:val="32"/>
        </w:rPr>
        <w:t>（一）持续报价</w:t>
      </w:r>
    </w:p>
    <w:p>
      <w:pPr>
        <w:spacing w:line="560" w:lineRule="exact"/>
        <w:ind w:firstLine="640"/>
        <w:rPr>
          <w:rFonts w:ascii="仿宋" w:hAnsi="仿宋" w:eastAsia="仿宋"/>
          <w:sz w:val="32"/>
        </w:rPr>
      </w:pPr>
      <w:r>
        <w:rPr>
          <w:rFonts w:hint="eastAsia" w:ascii="仿宋" w:hAnsi="仿宋" w:eastAsia="仿宋"/>
          <w:sz w:val="32"/>
        </w:rPr>
        <w:t>做市商持续报价的评价指标为加权平均价差率（以下简称价差率指标）、加权平均参与率（以下简称参与率指标）。</w:t>
      </w:r>
    </w:p>
    <w:p>
      <w:pPr>
        <w:spacing w:line="560" w:lineRule="exact"/>
        <w:ind w:firstLine="640"/>
        <w:rPr>
          <w:rFonts w:ascii="仿宋" w:hAnsi="仿宋" w:eastAsia="仿宋"/>
          <w:sz w:val="32"/>
        </w:rPr>
      </w:pPr>
      <w:r>
        <w:rPr>
          <w:rFonts w:ascii="仿宋" w:hAnsi="仿宋" w:eastAsia="仿宋"/>
          <w:sz w:val="32"/>
        </w:rPr>
        <w:t xml:space="preserve">1. </w:t>
      </w:r>
      <w:r>
        <w:rPr>
          <w:rFonts w:hint="eastAsia" w:ascii="仿宋" w:hAnsi="仿宋" w:eastAsia="仿宋"/>
          <w:sz w:val="32"/>
        </w:rPr>
        <w:t>价差率指标</w:t>
      </w:r>
    </w:p>
    <w:p>
      <w:pPr>
        <w:spacing w:line="560" w:lineRule="exact"/>
        <w:ind w:firstLine="640"/>
        <w:rPr>
          <w:rFonts w:ascii="仿宋" w:hAnsi="仿宋" w:eastAsia="仿宋"/>
          <w:sz w:val="32"/>
        </w:rPr>
      </w:pPr>
      <w:r>
        <w:rPr>
          <w:rFonts w:hint="eastAsia" w:ascii="仿宋" w:hAnsi="仿宋" w:eastAsia="仿宋"/>
          <w:sz w:val="32"/>
        </w:rPr>
        <w:t>价差率指标是统计期内时间加权平均报价价差率，即做市商报价价差与允许最大买卖价差比值的时间加权平均值，计算时剔除熔断、停牌、双边报价义务豁免时段以及无效报价时段等情形。该指标仅计算有效报价的价差。</w:t>
      </w:r>
    </w:p>
    <w:p>
      <w:pPr>
        <w:spacing w:line="560" w:lineRule="exact"/>
        <w:ind w:firstLine="640"/>
        <w:rPr>
          <w:rFonts w:ascii="仿宋" w:hAnsi="仿宋" w:eastAsia="仿宋"/>
          <w:sz w:val="32"/>
        </w:rPr>
      </w:pPr>
      <w:r>
        <w:rPr>
          <w:rFonts w:hint="eastAsia" w:ascii="仿宋" w:hAnsi="仿宋" w:eastAsia="仿宋"/>
          <w:sz w:val="32"/>
        </w:rPr>
        <w:t>价差率指标的计算方法如下：</w:t>
      </w:r>
    </w:p>
    <w:p>
      <w:pPr>
        <w:spacing w:line="560" w:lineRule="exact"/>
        <w:ind w:firstLine="640"/>
        <w:rPr>
          <w:rFonts w:ascii="仿宋" w:hAnsi="仿宋" w:eastAsia="仿宋"/>
          <w:sz w:val="32"/>
        </w:rPr>
      </w:pPr>
      <w:r>
        <w:rPr>
          <w:rFonts w:hint="eastAsia" w:ascii="仿宋" w:hAnsi="仿宋" w:eastAsia="仿宋"/>
          <w:sz w:val="32"/>
        </w:rPr>
        <w:fldChar w:fldCharType="begin"/>
      </w:r>
      <w:r>
        <w:rPr>
          <w:rFonts w:hint="eastAsia" w:ascii="仿宋" w:hAnsi="仿宋" w:eastAsia="仿宋"/>
          <w:sz w:val="32"/>
        </w:rPr>
        <w:instrText xml:space="preserve"> = 1 \* GB3 </w:instrText>
      </w:r>
      <w:r>
        <w:rPr>
          <w:rFonts w:hint="eastAsia" w:ascii="仿宋" w:hAnsi="仿宋" w:eastAsia="仿宋"/>
          <w:sz w:val="32"/>
        </w:rPr>
        <w:fldChar w:fldCharType="separate"/>
      </w:r>
      <w:r>
        <w:rPr>
          <w:rFonts w:hint="eastAsia" w:ascii="仿宋" w:hAnsi="仿宋" w:eastAsia="仿宋"/>
          <w:sz w:val="32"/>
        </w:rPr>
        <w:t>①</w:t>
      </w:r>
      <w:r>
        <w:rPr>
          <w:rFonts w:hint="eastAsia" w:ascii="仿宋" w:hAnsi="仿宋" w:eastAsia="仿宋"/>
          <w:sz w:val="32"/>
        </w:rPr>
        <w:fldChar w:fldCharType="end"/>
      </w:r>
      <w:r>
        <w:rPr>
          <w:rFonts w:hint="eastAsia" w:ascii="仿宋" w:hAnsi="仿宋" w:eastAsia="仿宋"/>
          <w:sz w:val="32"/>
        </w:rPr>
        <w:t>计算单日、单个合约的时间加权平均报价价差率；</w:t>
      </w:r>
      <w:r>
        <w:rPr>
          <w:rFonts w:hint="eastAsia" w:ascii="仿宋" w:hAnsi="仿宋" w:eastAsia="仿宋"/>
          <w:sz w:val="32"/>
        </w:rPr>
        <w:fldChar w:fldCharType="begin"/>
      </w:r>
      <w:r>
        <w:rPr>
          <w:rFonts w:hint="eastAsia" w:ascii="仿宋" w:hAnsi="仿宋" w:eastAsia="仿宋"/>
          <w:sz w:val="32"/>
        </w:rPr>
        <w:instrText xml:space="preserve"> = 2 \* GB3 </w:instrText>
      </w:r>
      <w:r>
        <w:rPr>
          <w:rFonts w:hint="eastAsia" w:ascii="仿宋" w:hAnsi="仿宋" w:eastAsia="仿宋"/>
          <w:sz w:val="32"/>
        </w:rPr>
        <w:fldChar w:fldCharType="separate"/>
      </w:r>
      <w:r>
        <w:rPr>
          <w:rFonts w:hint="eastAsia" w:ascii="仿宋" w:hAnsi="仿宋" w:eastAsia="仿宋"/>
          <w:sz w:val="32"/>
        </w:rPr>
        <w:t>②</w:t>
      </w:r>
      <w:r>
        <w:rPr>
          <w:rFonts w:hint="eastAsia" w:ascii="仿宋" w:hAnsi="仿宋" w:eastAsia="仿宋"/>
          <w:sz w:val="32"/>
        </w:rPr>
        <w:fldChar w:fldCharType="end"/>
      </w:r>
      <w:r>
        <w:rPr>
          <w:rFonts w:hint="eastAsia" w:ascii="仿宋" w:hAnsi="仿宋" w:eastAsia="仿宋"/>
          <w:sz w:val="32"/>
        </w:rPr>
        <w:t>对同一品种合约的第1项计算结果进行合约算术平均，得到单日合约品种时间加权平均报价价差率；</w:t>
      </w:r>
      <w:r>
        <w:rPr>
          <w:rFonts w:hint="eastAsia" w:ascii="仿宋" w:hAnsi="仿宋" w:eastAsia="仿宋"/>
          <w:sz w:val="32"/>
        </w:rPr>
        <w:fldChar w:fldCharType="begin"/>
      </w:r>
      <w:r>
        <w:rPr>
          <w:rFonts w:hint="eastAsia" w:ascii="仿宋" w:hAnsi="仿宋" w:eastAsia="仿宋"/>
          <w:sz w:val="32"/>
        </w:rPr>
        <w:instrText xml:space="preserve"> = 3 \* GB3 </w:instrText>
      </w:r>
      <w:r>
        <w:rPr>
          <w:rFonts w:hint="eastAsia" w:ascii="仿宋" w:hAnsi="仿宋" w:eastAsia="仿宋"/>
          <w:sz w:val="32"/>
        </w:rPr>
        <w:fldChar w:fldCharType="separate"/>
      </w:r>
      <w:r>
        <w:rPr>
          <w:rFonts w:hint="eastAsia" w:ascii="仿宋" w:hAnsi="仿宋" w:eastAsia="仿宋"/>
          <w:sz w:val="32"/>
        </w:rPr>
        <w:t>③</w:t>
      </w:r>
      <w:r>
        <w:rPr>
          <w:rFonts w:hint="eastAsia" w:ascii="仿宋" w:hAnsi="仿宋" w:eastAsia="仿宋"/>
          <w:sz w:val="32"/>
        </w:rPr>
        <w:fldChar w:fldCharType="end"/>
      </w:r>
      <w:r>
        <w:rPr>
          <w:rFonts w:hint="eastAsia" w:ascii="仿宋" w:hAnsi="仿宋" w:eastAsia="仿宋"/>
          <w:sz w:val="32"/>
        </w:rPr>
        <w:t>对统计期内的第2项计算结果进行每日算术平均。</w:t>
      </w:r>
    </w:p>
    <w:p>
      <w:pPr>
        <w:spacing w:line="560" w:lineRule="exact"/>
        <w:ind w:firstLine="640"/>
        <w:rPr>
          <w:rFonts w:ascii="仿宋" w:hAnsi="仿宋" w:eastAsia="仿宋"/>
          <w:sz w:val="32"/>
        </w:rPr>
      </w:pPr>
      <w:r>
        <w:rPr>
          <w:rFonts w:ascii="仿宋" w:hAnsi="仿宋" w:eastAsia="仿宋"/>
          <w:sz w:val="32"/>
        </w:rPr>
        <w:t>2.</w:t>
      </w:r>
      <w:r>
        <w:rPr>
          <w:rFonts w:hint="eastAsia" w:ascii="仿宋" w:hAnsi="仿宋" w:eastAsia="仿宋"/>
          <w:sz w:val="32"/>
        </w:rPr>
        <w:t xml:space="preserve"> 参与率指标</w:t>
      </w:r>
    </w:p>
    <w:p>
      <w:pPr>
        <w:spacing w:line="560" w:lineRule="exact"/>
        <w:ind w:firstLine="640"/>
        <w:rPr>
          <w:rFonts w:ascii="仿宋" w:hAnsi="仿宋" w:eastAsia="仿宋"/>
          <w:sz w:val="32"/>
        </w:rPr>
      </w:pPr>
      <w:r>
        <w:rPr>
          <w:rFonts w:hint="eastAsia" w:ascii="仿宋" w:hAnsi="仿宋" w:eastAsia="仿宋"/>
          <w:sz w:val="32"/>
        </w:rPr>
        <w:t>参与率指标</w:t>
      </w:r>
      <w:r>
        <w:rPr>
          <w:rFonts w:ascii="仿宋" w:hAnsi="仿宋" w:eastAsia="仿宋"/>
          <w:sz w:val="32"/>
        </w:rPr>
        <w:t>=5%</w:t>
      </w:r>
      <w:r>
        <w:rPr>
          <w:rFonts w:hint="eastAsia" w:ascii="仿宋" w:hAnsi="仿宋" w:eastAsia="仿宋"/>
          <w:sz w:val="32"/>
        </w:rPr>
        <w:t>×开盘集合竞价参与率</w:t>
      </w:r>
      <w:r>
        <w:rPr>
          <w:rFonts w:ascii="仿宋" w:hAnsi="仿宋" w:eastAsia="仿宋"/>
          <w:sz w:val="32"/>
        </w:rPr>
        <w:t>+10%</w:t>
      </w:r>
      <w:r>
        <w:rPr>
          <w:rFonts w:hint="eastAsia" w:ascii="仿宋" w:hAnsi="仿宋" w:eastAsia="仿宋"/>
          <w:sz w:val="32"/>
        </w:rPr>
        <w:t>×盘中熔断集合竞价参与率</w:t>
      </w:r>
      <w:r>
        <w:rPr>
          <w:rFonts w:ascii="仿宋" w:hAnsi="仿宋" w:eastAsia="仿宋"/>
          <w:sz w:val="32"/>
        </w:rPr>
        <w:t>+85%</w:t>
      </w:r>
      <w:r>
        <w:rPr>
          <w:rFonts w:hint="eastAsia" w:ascii="仿宋" w:hAnsi="仿宋" w:eastAsia="仿宋"/>
          <w:sz w:val="32"/>
        </w:rPr>
        <w:t>×连续竞价与收盘集合竞价综合参与率。其中，</w:t>
      </w:r>
    </w:p>
    <w:p>
      <w:pPr>
        <w:spacing w:line="560" w:lineRule="exact"/>
        <w:ind w:firstLine="640"/>
        <w:rPr>
          <w:rFonts w:ascii="仿宋" w:hAnsi="仿宋" w:eastAsia="仿宋"/>
          <w:sz w:val="32"/>
        </w:rPr>
      </w:pPr>
      <w:r>
        <w:rPr>
          <w:rFonts w:hint="eastAsia" w:ascii="仿宋" w:hAnsi="仿宋" w:eastAsia="仿宋"/>
          <w:sz w:val="32"/>
        </w:rPr>
        <w:t>（</w:t>
      </w:r>
      <w:r>
        <w:rPr>
          <w:rFonts w:ascii="仿宋" w:hAnsi="仿宋" w:eastAsia="仿宋"/>
          <w:sz w:val="32"/>
        </w:rPr>
        <w:t>1</w:t>
      </w:r>
      <w:r>
        <w:rPr>
          <w:rFonts w:hint="eastAsia" w:ascii="仿宋" w:hAnsi="仿宋" w:eastAsia="仿宋"/>
          <w:sz w:val="32"/>
        </w:rPr>
        <w:t>）开盘集合竞价参与率=统计期内有效参与开盘集合竞价的次数</w:t>
      </w:r>
      <w:r>
        <w:rPr>
          <w:rFonts w:ascii="仿宋" w:hAnsi="仿宋" w:eastAsia="仿宋"/>
          <w:sz w:val="32"/>
        </w:rPr>
        <w:t>/</w:t>
      </w:r>
      <w:r>
        <w:rPr>
          <w:rFonts w:hint="eastAsia" w:ascii="仿宋" w:hAnsi="仿宋" w:eastAsia="仿宋"/>
          <w:sz w:val="32"/>
        </w:rPr>
        <w:t>交易日天数。有效参与是指开盘集合竞价最后</w:t>
      </w:r>
      <w:r>
        <w:rPr>
          <w:rFonts w:ascii="仿宋" w:hAnsi="仿宋" w:eastAsia="仿宋"/>
          <w:sz w:val="32"/>
        </w:rPr>
        <w:t>5</w:t>
      </w:r>
      <w:r>
        <w:rPr>
          <w:rFonts w:hint="eastAsia" w:ascii="仿宋" w:hAnsi="仿宋" w:eastAsia="仿宋"/>
          <w:sz w:val="32"/>
        </w:rPr>
        <w:t>分钟存在有效报价，且合约覆盖率不低于</w:t>
      </w:r>
      <w:r>
        <w:rPr>
          <w:rFonts w:ascii="仿宋" w:hAnsi="仿宋" w:eastAsia="仿宋"/>
          <w:sz w:val="32"/>
        </w:rPr>
        <w:t>50%</w:t>
      </w:r>
      <w:r>
        <w:rPr>
          <w:rFonts w:hint="eastAsia" w:ascii="仿宋" w:hAnsi="仿宋" w:eastAsia="仿宋"/>
          <w:sz w:val="32"/>
        </w:rPr>
        <w:t>。</w:t>
      </w:r>
    </w:p>
    <w:p>
      <w:pPr>
        <w:spacing w:line="560" w:lineRule="exact"/>
        <w:ind w:firstLine="640"/>
        <w:rPr>
          <w:rFonts w:ascii="仿宋" w:hAnsi="仿宋" w:eastAsia="仿宋"/>
          <w:sz w:val="32"/>
        </w:rPr>
      </w:pPr>
      <w:r>
        <w:rPr>
          <w:rFonts w:hint="eastAsia" w:ascii="仿宋" w:hAnsi="仿宋" w:eastAsia="仿宋"/>
          <w:sz w:val="32"/>
        </w:rPr>
        <w:t>（</w:t>
      </w:r>
      <w:r>
        <w:rPr>
          <w:rFonts w:ascii="仿宋" w:hAnsi="仿宋" w:eastAsia="仿宋"/>
          <w:sz w:val="32"/>
        </w:rPr>
        <w:t>2</w:t>
      </w:r>
      <w:r>
        <w:rPr>
          <w:rFonts w:hint="eastAsia" w:ascii="仿宋" w:hAnsi="仿宋" w:eastAsia="仿宋"/>
          <w:sz w:val="32"/>
        </w:rPr>
        <w:t>）盘中熔断集合竞价参与率</w:t>
      </w:r>
      <w:r>
        <w:rPr>
          <w:rFonts w:ascii="仿宋" w:hAnsi="仿宋" w:eastAsia="仿宋"/>
          <w:sz w:val="32"/>
        </w:rPr>
        <w:t>=</w:t>
      </w:r>
      <w:r>
        <w:rPr>
          <w:rFonts w:hint="eastAsia" w:ascii="仿宋" w:hAnsi="仿宋" w:eastAsia="仿宋"/>
          <w:sz w:val="32"/>
        </w:rPr>
        <w:t>统计期内有效参与盘中熔断集合竞价的次数</w:t>
      </w:r>
      <w:r>
        <w:rPr>
          <w:rFonts w:ascii="仿宋" w:hAnsi="仿宋" w:eastAsia="仿宋"/>
          <w:sz w:val="32"/>
        </w:rPr>
        <w:t>/</w:t>
      </w:r>
      <w:r>
        <w:rPr>
          <w:rFonts w:hint="eastAsia" w:ascii="仿宋" w:hAnsi="仿宋" w:eastAsia="仿宋"/>
          <w:sz w:val="32"/>
        </w:rPr>
        <w:t>盘中熔断总次数。有效参与是指盘中熔断集合竞价最后</w:t>
      </w:r>
      <w:r>
        <w:rPr>
          <w:rFonts w:ascii="仿宋" w:hAnsi="仿宋" w:eastAsia="仿宋"/>
          <w:sz w:val="32"/>
        </w:rPr>
        <w:t>1</w:t>
      </w:r>
      <w:r>
        <w:rPr>
          <w:rFonts w:hint="eastAsia" w:ascii="仿宋" w:hAnsi="仿宋" w:eastAsia="仿宋"/>
          <w:sz w:val="32"/>
        </w:rPr>
        <w:t>分钟存在有效报价。</w:t>
      </w:r>
    </w:p>
    <w:p>
      <w:pPr>
        <w:spacing w:line="560" w:lineRule="exact"/>
        <w:ind w:firstLine="640"/>
        <w:rPr>
          <w:rFonts w:ascii="仿宋" w:hAnsi="仿宋" w:eastAsia="仿宋"/>
          <w:sz w:val="32"/>
        </w:rPr>
      </w:pPr>
      <w:r>
        <w:rPr>
          <w:rFonts w:hint="eastAsia" w:ascii="仿宋" w:hAnsi="仿宋" w:eastAsia="仿宋"/>
          <w:sz w:val="32"/>
        </w:rPr>
        <w:t>（</w:t>
      </w:r>
      <w:r>
        <w:rPr>
          <w:rFonts w:ascii="仿宋" w:hAnsi="仿宋" w:eastAsia="仿宋"/>
          <w:sz w:val="32"/>
        </w:rPr>
        <w:t>3</w:t>
      </w:r>
      <w:r>
        <w:rPr>
          <w:rFonts w:hint="eastAsia" w:ascii="仿宋" w:hAnsi="仿宋" w:eastAsia="仿宋"/>
          <w:sz w:val="32"/>
        </w:rPr>
        <w:t>）连续竞价与收盘集合竞价综合参与率，是连续竞价参与率和收盘集合竞价合约覆盖率的综合指标。连续竞价参与率指有效报价的报价时长与连续竞价时长的比率，其中连续竞价时长是剔除停牌、涨跌停、盘中熔断集合竞价等情况后的连续竞价时间。</w:t>
      </w:r>
    </w:p>
    <w:p>
      <w:pPr>
        <w:spacing w:line="560" w:lineRule="exact"/>
        <w:ind w:firstLine="640"/>
        <w:rPr>
          <w:rFonts w:ascii="仿宋" w:hAnsi="仿宋" w:eastAsia="仿宋"/>
          <w:sz w:val="32"/>
        </w:rPr>
      </w:pPr>
      <w:r>
        <w:rPr>
          <w:rFonts w:hint="eastAsia" w:ascii="仿宋" w:hAnsi="仿宋" w:eastAsia="仿宋"/>
          <w:sz w:val="32"/>
        </w:rPr>
        <w:t>参与率指标的计算方法如下：</w:t>
      </w:r>
    </w:p>
    <w:p>
      <w:pPr>
        <w:spacing w:line="560" w:lineRule="exact"/>
        <w:ind w:firstLine="640"/>
        <w:rPr>
          <w:rFonts w:ascii="仿宋" w:hAnsi="仿宋" w:eastAsia="仿宋"/>
          <w:sz w:val="32"/>
        </w:rPr>
      </w:pPr>
      <w:r>
        <w:rPr>
          <w:rFonts w:hint="eastAsia" w:ascii="仿宋" w:hAnsi="仿宋" w:eastAsia="仿宋"/>
          <w:sz w:val="32"/>
        </w:rPr>
        <w:fldChar w:fldCharType="begin"/>
      </w:r>
      <w:r>
        <w:rPr>
          <w:rFonts w:hint="eastAsia" w:ascii="仿宋" w:hAnsi="仿宋" w:eastAsia="仿宋"/>
          <w:sz w:val="32"/>
        </w:rPr>
        <w:instrText xml:space="preserve"> = 1 \* GB3 </w:instrText>
      </w:r>
      <w:r>
        <w:rPr>
          <w:rFonts w:hint="eastAsia" w:ascii="仿宋" w:hAnsi="仿宋" w:eastAsia="仿宋"/>
          <w:sz w:val="32"/>
        </w:rPr>
        <w:fldChar w:fldCharType="separate"/>
      </w:r>
      <w:r>
        <w:rPr>
          <w:rFonts w:hint="eastAsia" w:ascii="仿宋" w:hAnsi="仿宋" w:eastAsia="仿宋"/>
          <w:sz w:val="32"/>
        </w:rPr>
        <w:t>①</w:t>
      </w:r>
      <w:r>
        <w:rPr>
          <w:rFonts w:hint="eastAsia" w:ascii="仿宋" w:hAnsi="仿宋" w:eastAsia="仿宋"/>
          <w:sz w:val="32"/>
        </w:rPr>
        <w:fldChar w:fldCharType="end"/>
      </w:r>
      <w:r>
        <w:rPr>
          <w:rFonts w:hint="eastAsia" w:ascii="仿宋" w:hAnsi="仿宋" w:eastAsia="仿宋"/>
          <w:sz w:val="32"/>
        </w:rPr>
        <w:t>计算单日、单个合约的连续竞价参与率，选取同一合约品种内参与率最高的前</w:t>
      </w:r>
      <w:r>
        <w:rPr>
          <w:rFonts w:ascii="仿宋" w:hAnsi="仿宋" w:eastAsia="仿宋"/>
          <w:sz w:val="32"/>
        </w:rPr>
        <w:t>90%</w:t>
      </w:r>
      <w:r>
        <w:rPr>
          <w:rFonts w:hint="eastAsia" w:ascii="仿宋" w:hAnsi="仿宋" w:eastAsia="仿宋"/>
          <w:sz w:val="32"/>
        </w:rPr>
        <w:t>的合约，进行算术平均得到单日合约品种连续竞价参与率；</w:t>
      </w:r>
      <w:r>
        <w:rPr>
          <w:rFonts w:hint="eastAsia" w:ascii="仿宋" w:hAnsi="仿宋" w:eastAsia="仿宋"/>
          <w:sz w:val="32"/>
        </w:rPr>
        <w:fldChar w:fldCharType="begin"/>
      </w:r>
      <w:r>
        <w:rPr>
          <w:rFonts w:hint="eastAsia" w:ascii="仿宋" w:hAnsi="仿宋" w:eastAsia="仿宋"/>
          <w:sz w:val="32"/>
        </w:rPr>
        <w:instrText xml:space="preserve"> = 2 \* GB3 </w:instrText>
      </w:r>
      <w:r>
        <w:rPr>
          <w:rFonts w:hint="eastAsia" w:ascii="仿宋" w:hAnsi="仿宋" w:eastAsia="仿宋"/>
          <w:sz w:val="32"/>
        </w:rPr>
        <w:fldChar w:fldCharType="separate"/>
      </w:r>
      <w:r>
        <w:rPr>
          <w:rFonts w:hint="eastAsia" w:ascii="仿宋" w:hAnsi="仿宋" w:eastAsia="仿宋"/>
          <w:sz w:val="32"/>
        </w:rPr>
        <w:t>②</w:t>
      </w:r>
      <w:r>
        <w:rPr>
          <w:rFonts w:hint="eastAsia" w:ascii="仿宋" w:hAnsi="仿宋" w:eastAsia="仿宋"/>
          <w:sz w:val="32"/>
        </w:rPr>
        <w:fldChar w:fldCharType="end"/>
      </w:r>
      <w:r>
        <w:rPr>
          <w:rFonts w:hint="eastAsia" w:ascii="仿宋" w:hAnsi="仿宋" w:eastAsia="仿宋"/>
          <w:sz w:val="32"/>
        </w:rPr>
        <w:t>若当天收盘集合竞价合约覆盖率高于</w:t>
      </w:r>
      <w:r>
        <w:rPr>
          <w:rFonts w:ascii="仿宋" w:hAnsi="仿宋" w:eastAsia="仿宋"/>
          <w:sz w:val="32"/>
        </w:rPr>
        <w:t>80%</w:t>
      </w:r>
      <w:r>
        <w:rPr>
          <w:rFonts w:hint="eastAsia" w:ascii="仿宋" w:hAnsi="仿宋" w:eastAsia="仿宋"/>
          <w:sz w:val="32"/>
        </w:rPr>
        <w:t>（含），则单日连续竞价与收盘集合竞价综合参与率=当天第1项计算结果×收盘集合竞价合约覆盖率；否则，单日连续竞价与收盘集合竞价综合参与率为</w:t>
      </w:r>
      <w:r>
        <w:rPr>
          <w:rFonts w:ascii="仿宋" w:hAnsi="仿宋" w:eastAsia="仿宋"/>
          <w:sz w:val="32"/>
        </w:rPr>
        <w:t>0</w:t>
      </w:r>
      <w:r>
        <w:rPr>
          <w:rFonts w:hint="eastAsia" w:ascii="仿宋" w:hAnsi="仿宋" w:eastAsia="仿宋"/>
          <w:sz w:val="32"/>
        </w:rPr>
        <w:t>；</w:t>
      </w:r>
      <w:r>
        <w:rPr>
          <w:rFonts w:hint="eastAsia" w:ascii="仿宋" w:hAnsi="仿宋" w:eastAsia="仿宋"/>
          <w:sz w:val="32"/>
        </w:rPr>
        <w:fldChar w:fldCharType="begin"/>
      </w:r>
      <w:r>
        <w:rPr>
          <w:rFonts w:hint="eastAsia" w:ascii="仿宋" w:hAnsi="仿宋" w:eastAsia="仿宋"/>
          <w:sz w:val="32"/>
        </w:rPr>
        <w:instrText xml:space="preserve"> = 3 \* GB3 </w:instrText>
      </w:r>
      <w:r>
        <w:rPr>
          <w:rFonts w:hint="eastAsia" w:ascii="仿宋" w:hAnsi="仿宋" w:eastAsia="仿宋"/>
          <w:sz w:val="32"/>
        </w:rPr>
        <w:fldChar w:fldCharType="separate"/>
      </w:r>
      <w:r>
        <w:rPr>
          <w:rFonts w:hint="eastAsia" w:ascii="仿宋" w:hAnsi="仿宋" w:eastAsia="仿宋"/>
          <w:sz w:val="32"/>
        </w:rPr>
        <w:t>③</w:t>
      </w:r>
      <w:r>
        <w:rPr>
          <w:rFonts w:hint="eastAsia" w:ascii="仿宋" w:hAnsi="仿宋" w:eastAsia="仿宋"/>
          <w:sz w:val="32"/>
        </w:rPr>
        <w:fldChar w:fldCharType="end"/>
      </w:r>
      <w:r>
        <w:rPr>
          <w:rFonts w:hint="eastAsia" w:ascii="仿宋" w:hAnsi="仿宋" w:eastAsia="仿宋"/>
          <w:sz w:val="32"/>
        </w:rPr>
        <w:t>对统计期内第2项计算结果进行每日平均得到连续竞价与收盘集合竞价综合参与率；</w:t>
      </w:r>
      <w:r>
        <w:rPr>
          <w:rFonts w:hint="eastAsia" w:ascii="仿宋" w:hAnsi="仿宋" w:eastAsia="仿宋"/>
          <w:sz w:val="32"/>
        </w:rPr>
        <w:fldChar w:fldCharType="begin"/>
      </w:r>
      <w:r>
        <w:rPr>
          <w:rFonts w:hint="eastAsia" w:ascii="仿宋" w:hAnsi="仿宋" w:eastAsia="仿宋"/>
          <w:sz w:val="32"/>
        </w:rPr>
        <w:instrText xml:space="preserve"> = 4 \* GB3 </w:instrText>
      </w:r>
      <w:r>
        <w:rPr>
          <w:rFonts w:hint="eastAsia" w:ascii="仿宋" w:hAnsi="仿宋" w:eastAsia="仿宋"/>
          <w:sz w:val="32"/>
        </w:rPr>
        <w:fldChar w:fldCharType="separate"/>
      </w:r>
      <w:r>
        <w:rPr>
          <w:rFonts w:hint="eastAsia" w:ascii="仿宋" w:hAnsi="仿宋" w:eastAsia="仿宋"/>
          <w:sz w:val="32"/>
        </w:rPr>
        <w:t>④</w:t>
      </w:r>
      <w:r>
        <w:rPr>
          <w:rFonts w:hint="eastAsia" w:ascii="仿宋" w:hAnsi="仿宋" w:eastAsia="仿宋"/>
          <w:sz w:val="32"/>
        </w:rPr>
        <w:fldChar w:fldCharType="end"/>
      </w:r>
      <w:r>
        <w:rPr>
          <w:rFonts w:hint="eastAsia" w:ascii="仿宋" w:hAnsi="仿宋" w:eastAsia="仿宋"/>
          <w:sz w:val="32"/>
        </w:rPr>
        <w:t>将第3项计算结果与统计期内开盘集合竞价参与率和盘中熔断集合竞价参与率进行加权平均。</w:t>
      </w:r>
    </w:p>
    <w:p>
      <w:pPr>
        <w:spacing w:line="560" w:lineRule="exact"/>
        <w:ind w:firstLine="640"/>
        <w:rPr>
          <w:rFonts w:ascii="仿宋" w:hAnsi="仿宋" w:eastAsia="仿宋"/>
          <w:sz w:val="32"/>
        </w:rPr>
      </w:pPr>
      <w:r>
        <w:rPr>
          <w:rFonts w:hint="eastAsia" w:ascii="仿宋" w:hAnsi="仿宋" w:eastAsia="仿宋"/>
          <w:sz w:val="32"/>
        </w:rPr>
        <w:t>价差率指标越小，参与率指标越大，做市商的评价越好。</w:t>
      </w:r>
    </w:p>
    <w:p>
      <w:pPr>
        <w:pStyle w:val="5"/>
        <w:spacing w:line="560" w:lineRule="exact"/>
        <w:ind w:firstLine="640"/>
        <w:rPr>
          <w:rFonts w:ascii="仿宋" w:hAnsi="仿宋" w:eastAsia="仿宋"/>
          <w:sz w:val="32"/>
        </w:rPr>
      </w:pPr>
      <w:r>
        <w:rPr>
          <w:rFonts w:hint="eastAsia" w:ascii="仿宋" w:hAnsi="仿宋" w:eastAsia="仿宋"/>
          <w:sz w:val="32"/>
        </w:rPr>
        <w:t>（二）回应报价</w:t>
      </w:r>
    </w:p>
    <w:p>
      <w:pPr>
        <w:spacing w:line="560" w:lineRule="exact"/>
        <w:ind w:firstLine="640"/>
        <w:rPr>
          <w:rFonts w:ascii="仿宋" w:hAnsi="仿宋" w:eastAsia="仿宋"/>
          <w:sz w:val="32"/>
        </w:rPr>
      </w:pPr>
      <w:r>
        <w:rPr>
          <w:rFonts w:hint="eastAsia" w:ascii="仿宋" w:hAnsi="仿宋" w:eastAsia="仿宋"/>
          <w:sz w:val="32"/>
        </w:rPr>
        <w:t>回应报价参与率是回应报价的唯一评价指标。回应报价参与率</w:t>
      </w:r>
      <w:r>
        <w:rPr>
          <w:rFonts w:ascii="仿宋" w:hAnsi="仿宋" w:eastAsia="仿宋"/>
          <w:sz w:val="32"/>
        </w:rPr>
        <w:t>=</w:t>
      </w:r>
      <w:r>
        <w:rPr>
          <w:rFonts w:hint="eastAsia" w:ascii="仿宋" w:hAnsi="仿宋" w:eastAsia="仿宋"/>
          <w:sz w:val="32"/>
        </w:rPr>
        <w:t>期间有效回应报价次数</w:t>
      </w:r>
      <w:r>
        <w:rPr>
          <w:rFonts w:ascii="仿宋" w:hAnsi="仿宋" w:eastAsia="仿宋"/>
          <w:sz w:val="32"/>
        </w:rPr>
        <w:t>/</w:t>
      </w:r>
      <w:r>
        <w:rPr>
          <w:rFonts w:hint="eastAsia" w:ascii="仿宋" w:hAnsi="仿宋" w:eastAsia="仿宋"/>
          <w:sz w:val="32"/>
        </w:rPr>
        <w:t>询价次数。</w:t>
      </w:r>
    </w:p>
    <w:p>
      <w:pPr>
        <w:pStyle w:val="4"/>
        <w:spacing w:before="0" w:line="560" w:lineRule="exact"/>
        <w:ind w:firstLine="640"/>
        <w:rPr>
          <w:rFonts w:ascii="黑体" w:hAnsi="黑体" w:eastAsia="黑体"/>
          <w:b w:val="0"/>
          <w:sz w:val="32"/>
        </w:rPr>
      </w:pPr>
      <w:bookmarkStart w:id="89" w:name="_Toc24393"/>
      <w:bookmarkStart w:id="90" w:name="_Toc15324"/>
      <w:bookmarkStart w:id="91" w:name="_Toc67332316"/>
      <w:r>
        <w:rPr>
          <w:rFonts w:hint="eastAsia" w:ascii="黑体" w:hAnsi="黑体" w:eastAsia="黑体"/>
          <w:b w:val="0"/>
          <w:sz w:val="32"/>
        </w:rPr>
        <w:t>二、评价方法</w:t>
      </w:r>
      <w:bookmarkEnd w:id="89"/>
      <w:bookmarkEnd w:id="90"/>
      <w:bookmarkEnd w:id="91"/>
    </w:p>
    <w:p>
      <w:pPr>
        <w:pStyle w:val="5"/>
        <w:spacing w:line="560" w:lineRule="exact"/>
        <w:ind w:firstLine="640"/>
        <w:rPr>
          <w:rFonts w:ascii="仿宋" w:hAnsi="仿宋" w:eastAsia="仿宋"/>
          <w:sz w:val="32"/>
        </w:rPr>
      </w:pPr>
      <w:r>
        <w:rPr>
          <w:rFonts w:hint="eastAsia" w:ascii="仿宋" w:hAnsi="仿宋" w:eastAsia="仿宋"/>
          <w:sz w:val="32"/>
        </w:rPr>
        <w:t>（一）主做市商</w:t>
      </w:r>
    </w:p>
    <w:p>
      <w:pPr>
        <w:spacing w:line="560" w:lineRule="exact"/>
        <w:ind w:firstLine="640"/>
        <w:rPr>
          <w:rFonts w:ascii="仿宋" w:hAnsi="仿宋" w:eastAsia="仿宋"/>
          <w:sz w:val="32"/>
        </w:rPr>
      </w:pPr>
      <w:r>
        <w:rPr>
          <w:rFonts w:hint="eastAsia" w:ascii="仿宋" w:hAnsi="仿宋" w:eastAsia="仿宋"/>
          <w:sz w:val="32"/>
        </w:rPr>
        <w:t>本所对每个合约品种，每个自然月对主做市商提供做市服务的情况进行评价，并向市场公告。品种交易不足一个自然月的，不进行公告。</w:t>
      </w:r>
    </w:p>
    <w:p>
      <w:pPr>
        <w:spacing w:line="560" w:lineRule="exact"/>
        <w:ind w:firstLine="640"/>
        <w:rPr>
          <w:rFonts w:ascii="仿宋" w:hAnsi="仿宋" w:eastAsia="仿宋"/>
          <w:sz w:val="32"/>
        </w:rPr>
      </w:pPr>
      <w:r>
        <w:rPr>
          <w:rFonts w:hint="eastAsia" w:ascii="仿宋" w:hAnsi="仿宋" w:eastAsia="仿宋"/>
          <w:sz w:val="32"/>
        </w:rPr>
        <w:t>主做市商合格标准为持续报价参与率指标达到</w:t>
      </w:r>
      <w:r>
        <w:rPr>
          <w:rFonts w:ascii="仿宋" w:hAnsi="仿宋" w:eastAsia="仿宋"/>
          <w:sz w:val="32"/>
        </w:rPr>
        <w:t>70%</w:t>
      </w:r>
      <w:r>
        <w:rPr>
          <w:rFonts w:hint="eastAsia" w:ascii="仿宋" w:hAnsi="仿宋" w:eastAsia="仿宋"/>
          <w:sz w:val="32"/>
        </w:rPr>
        <w:t>（含），且回应报价参与率达到</w:t>
      </w:r>
      <w:r>
        <w:rPr>
          <w:rFonts w:ascii="仿宋" w:hAnsi="仿宋" w:eastAsia="仿宋"/>
          <w:sz w:val="32"/>
        </w:rPr>
        <w:t>70%</w:t>
      </w:r>
      <w:r>
        <w:rPr>
          <w:rFonts w:hint="eastAsia" w:ascii="仿宋" w:hAnsi="仿宋" w:eastAsia="仿宋"/>
          <w:sz w:val="32"/>
        </w:rPr>
        <w:t>（含）。</w:t>
      </w:r>
    </w:p>
    <w:p>
      <w:pPr>
        <w:spacing w:line="560" w:lineRule="exact"/>
        <w:ind w:firstLine="640"/>
        <w:rPr>
          <w:rFonts w:ascii="仿宋" w:hAnsi="仿宋" w:eastAsia="仿宋"/>
          <w:sz w:val="32"/>
        </w:rPr>
      </w:pPr>
      <w:r>
        <w:rPr>
          <w:rFonts w:hint="eastAsia" w:ascii="仿宋" w:hAnsi="仿宋" w:eastAsia="仿宋"/>
          <w:sz w:val="32"/>
        </w:rPr>
        <w:t>对于合格主做市商，本所按照价差率指标、参与率指标，并进行成交量调整，确定绩效评价结果。主做市商的回应报价做市情况满足合格标准即可，不影响评价。</w:t>
      </w:r>
    </w:p>
    <w:p>
      <w:pPr>
        <w:spacing w:line="560" w:lineRule="exact"/>
        <w:ind w:firstLine="0" w:firstLineChars="0"/>
        <w:jc w:val="center"/>
        <w:rPr>
          <w:rFonts w:ascii="仿宋" w:hAnsi="仿宋"/>
          <w:sz w:val="32"/>
        </w:rPr>
      </w:pPr>
      <w:r>
        <w:rPr>
          <w:rFonts w:hint="eastAsia" w:ascii="仿宋" w:hAnsi="仿宋" w:eastAsia="仿宋"/>
          <w:sz w:val="32"/>
        </w:rPr>
        <w:t>表</w:t>
      </w:r>
      <w:r>
        <w:rPr>
          <w:rFonts w:ascii="仿宋" w:hAnsi="仿宋" w:eastAsia="仿宋"/>
          <w:sz w:val="32"/>
        </w:rPr>
        <w:t xml:space="preserve">1 </w:t>
      </w:r>
      <w:r>
        <w:rPr>
          <w:rFonts w:hint="eastAsia" w:ascii="仿宋" w:hAnsi="仿宋" w:eastAsia="仿宋"/>
          <w:sz w:val="32"/>
        </w:rPr>
        <w:t>主做市商绩效月度评价（成交量调整前）</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766"/>
        <w:gridCol w:w="1767"/>
        <w:gridCol w:w="1767"/>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tcBorders>
              <w:tl2br w:val="single" w:color="auto" w:sz="4" w:space="0"/>
            </w:tcBorders>
          </w:tcPr>
          <w:p>
            <w:pPr>
              <w:spacing w:line="560" w:lineRule="exact"/>
              <w:ind w:firstLine="360" w:firstLineChars="150"/>
              <w:jc w:val="right"/>
              <w:rPr>
                <w:rFonts w:ascii="仿宋" w:hAnsi="仿宋" w:eastAsia="仿宋"/>
                <w:sz w:val="24"/>
                <w:szCs w:val="24"/>
              </w:rPr>
            </w:pPr>
            <w:r>
              <w:rPr>
                <w:rFonts w:hint="eastAsia" w:ascii="仿宋" w:hAnsi="仿宋" w:eastAsia="仿宋"/>
                <w:sz w:val="24"/>
                <w:szCs w:val="24"/>
              </w:rPr>
              <w:t>参与率</w:t>
            </w:r>
            <w:r>
              <w:rPr>
                <w:rFonts w:ascii="仿宋" w:hAnsi="仿宋" w:eastAsia="仿宋"/>
                <w:sz w:val="24"/>
                <w:szCs w:val="24"/>
              </w:rPr>
              <w:t>(%)</w:t>
            </w:r>
          </w:p>
          <w:p>
            <w:pPr>
              <w:spacing w:line="560" w:lineRule="exact"/>
              <w:ind w:firstLine="0" w:firstLineChars="0"/>
              <w:jc w:val="left"/>
              <w:rPr>
                <w:rFonts w:ascii="仿宋" w:hAnsi="仿宋" w:eastAsia="仿宋"/>
                <w:sz w:val="24"/>
                <w:szCs w:val="24"/>
              </w:rPr>
            </w:pPr>
            <w:r>
              <w:rPr>
                <w:rFonts w:hint="eastAsia" w:ascii="仿宋" w:hAnsi="仿宋" w:eastAsia="仿宋"/>
                <w:sz w:val="24"/>
                <w:szCs w:val="24"/>
              </w:rPr>
              <w:t>价差率</w:t>
            </w:r>
            <w:r>
              <w:rPr>
                <w:rFonts w:ascii="仿宋" w:hAnsi="仿宋" w:eastAsia="仿宋"/>
                <w:sz w:val="24"/>
                <w:szCs w:val="24"/>
              </w:rPr>
              <w:t>(%)</w:t>
            </w:r>
          </w:p>
        </w:tc>
        <w:tc>
          <w:tcPr>
            <w:tcW w:w="1000" w:type="pct"/>
            <w:vAlign w:val="center"/>
          </w:tcPr>
          <w:p>
            <w:pPr>
              <w:spacing w:line="560" w:lineRule="exact"/>
              <w:ind w:firstLine="0" w:firstLineChars="0"/>
              <w:jc w:val="center"/>
              <w:rPr>
                <w:rFonts w:ascii="仿宋" w:hAnsi="仿宋" w:eastAsia="仿宋"/>
                <w:kern w:val="0"/>
                <w:sz w:val="24"/>
                <w:szCs w:val="24"/>
              </w:rPr>
            </w:pPr>
            <w:r>
              <w:rPr>
                <w:rFonts w:hint="eastAsia" w:ascii="仿宋" w:hAnsi="仿宋" w:eastAsia="仿宋"/>
                <w:sz w:val="24"/>
                <w:szCs w:val="24"/>
              </w:rPr>
              <w:t>≥</w:t>
            </w:r>
            <w:r>
              <w:rPr>
                <w:rFonts w:ascii="仿宋" w:hAnsi="仿宋" w:eastAsia="仿宋"/>
                <w:sz w:val="24"/>
                <w:szCs w:val="24"/>
              </w:rPr>
              <w:t>9</w:t>
            </w:r>
            <w:r>
              <w:rPr>
                <w:rFonts w:hint="eastAsia" w:ascii="仿宋" w:hAnsi="仿宋" w:eastAsia="仿宋"/>
                <w:sz w:val="24"/>
                <w:szCs w:val="24"/>
              </w:rPr>
              <w:t>0</w:t>
            </w:r>
          </w:p>
        </w:tc>
        <w:tc>
          <w:tcPr>
            <w:tcW w:w="1000" w:type="pct"/>
            <w:vAlign w:val="center"/>
          </w:tcPr>
          <w:p>
            <w:pPr>
              <w:spacing w:line="560" w:lineRule="exact"/>
              <w:ind w:firstLine="0" w:firstLineChars="0"/>
              <w:jc w:val="center"/>
              <w:rPr>
                <w:rFonts w:ascii="仿宋" w:hAnsi="仿宋" w:eastAsia="仿宋"/>
                <w:kern w:val="0"/>
                <w:sz w:val="24"/>
                <w:szCs w:val="24"/>
              </w:rPr>
            </w:pPr>
            <w:r>
              <w:rPr>
                <w:rFonts w:hint="eastAsia" w:ascii="仿宋" w:hAnsi="仿宋" w:eastAsia="仿宋"/>
                <w:sz w:val="24"/>
                <w:szCs w:val="24"/>
              </w:rPr>
              <w:t>≥8</w:t>
            </w:r>
            <w:r>
              <w:rPr>
                <w:rFonts w:ascii="仿宋" w:hAnsi="仿宋" w:eastAsia="仿宋"/>
                <w:sz w:val="24"/>
                <w:szCs w:val="24"/>
              </w:rPr>
              <w:t>0</w:t>
            </w:r>
            <w:r>
              <w:rPr>
                <w:rFonts w:hint="eastAsia" w:ascii="仿宋" w:hAnsi="仿宋" w:eastAsia="仿宋"/>
                <w:sz w:val="24"/>
                <w:szCs w:val="24"/>
              </w:rPr>
              <w:t>且</w:t>
            </w:r>
            <w:r>
              <w:rPr>
                <w:rFonts w:ascii="仿宋" w:hAnsi="仿宋" w:eastAsia="仿宋"/>
                <w:sz w:val="24"/>
                <w:szCs w:val="24"/>
              </w:rPr>
              <w:t>&lt;9</w:t>
            </w:r>
            <w:r>
              <w:rPr>
                <w:rFonts w:hint="eastAsia" w:ascii="仿宋" w:hAnsi="仿宋" w:eastAsia="仿宋"/>
                <w:sz w:val="24"/>
                <w:szCs w:val="24"/>
              </w:rPr>
              <w:t>0</w:t>
            </w:r>
          </w:p>
        </w:tc>
        <w:tc>
          <w:tcPr>
            <w:tcW w:w="1000" w:type="pct"/>
            <w:vAlign w:val="center"/>
          </w:tcPr>
          <w:p>
            <w:pPr>
              <w:spacing w:line="560" w:lineRule="exact"/>
              <w:ind w:firstLine="0" w:firstLineChars="0"/>
              <w:jc w:val="center"/>
              <w:rPr>
                <w:rFonts w:ascii="仿宋" w:hAnsi="仿宋" w:eastAsia="仿宋"/>
                <w:kern w:val="0"/>
                <w:sz w:val="24"/>
                <w:szCs w:val="24"/>
              </w:rPr>
            </w:pPr>
            <w:r>
              <w:rPr>
                <w:rFonts w:hint="eastAsia" w:ascii="仿宋" w:hAnsi="仿宋" w:eastAsia="仿宋"/>
                <w:sz w:val="24"/>
                <w:szCs w:val="24"/>
              </w:rPr>
              <w:t>≥</w:t>
            </w:r>
            <w:r>
              <w:rPr>
                <w:rFonts w:ascii="仿宋" w:hAnsi="仿宋" w:eastAsia="仿宋"/>
                <w:sz w:val="24"/>
                <w:szCs w:val="24"/>
              </w:rPr>
              <w:t>70</w:t>
            </w:r>
            <w:r>
              <w:rPr>
                <w:rFonts w:hint="eastAsia" w:ascii="仿宋" w:hAnsi="仿宋" w:eastAsia="仿宋"/>
                <w:sz w:val="24"/>
                <w:szCs w:val="24"/>
              </w:rPr>
              <w:t>且</w:t>
            </w:r>
            <w:r>
              <w:rPr>
                <w:rFonts w:ascii="仿宋" w:hAnsi="仿宋" w:eastAsia="仿宋"/>
                <w:sz w:val="24"/>
                <w:szCs w:val="24"/>
              </w:rPr>
              <w:t>&lt;</w:t>
            </w:r>
            <w:r>
              <w:rPr>
                <w:rFonts w:hint="eastAsia" w:ascii="仿宋" w:hAnsi="仿宋" w:eastAsia="仿宋"/>
                <w:sz w:val="24"/>
                <w:szCs w:val="24"/>
              </w:rPr>
              <w:t>8</w:t>
            </w:r>
            <w:r>
              <w:rPr>
                <w:rFonts w:ascii="仿宋" w:hAnsi="仿宋" w:eastAsia="仿宋"/>
                <w:sz w:val="24"/>
                <w:szCs w:val="24"/>
              </w:rPr>
              <w:t>0</w:t>
            </w:r>
          </w:p>
        </w:tc>
        <w:tc>
          <w:tcPr>
            <w:tcW w:w="1000" w:type="pct"/>
            <w:vAlign w:val="center"/>
          </w:tcPr>
          <w:p>
            <w:pPr>
              <w:spacing w:line="560" w:lineRule="exact"/>
              <w:ind w:firstLine="0" w:firstLineChars="0"/>
              <w:jc w:val="center"/>
              <w:rPr>
                <w:rFonts w:ascii="仿宋" w:hAnsi="仿宋" w:eastAsia="仿宋"/>
                <w:sz w:val="24"/>
                <w:szCs w:val="24"/>
              </w:rPr>
            </w:pPr>
            <w:r>
              <w:rPr>
                <w:rFonts w:ascii="仿宋" w:hAnsi="仿宋" w:eastAsia="仿宋"/>
                <w:sz w:val="24"/>
                <w:szCs w:val="24"/>
              </w:rPr>
              <w:t>&lt;</w:t>
            </w:r>
            <w:r>
              <w:rPr>
                <w:rFonts w:hint="eastAsia" w:ascii="仿宋" w:hAnsi="仿宋" w:eastAsia="仿宋"/>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0</w:t>
            </w:r>
          </w:p>
        </w:tc>
        <w:tc>
          <w:tcPr>
            <w:tcW w:w="1000" w:type="pct"/>
            <w:vAlign w:val="center"/>
          </w:tcPr>
          <w:p>
            <w:pPr>
              <w:ind w:firstLine="0" w:firstLineChars="0"/>
              <w:jc w:val="center"/>
              <w:rPr>
                <w:rFonts w:ascii="仿宋" w:hAnsi="仿宋" w:eastAsia="仿宋"/>
                <w:sz w:val="24"/>
                <w:szCs w:val="24"/>
              </w:rPr>
            </w:pPr>
            <w:r>
              <w:rPr>
                <w:rFonts w:ascii="仿宋" w:hAnsi="仿宋" w:eastAsia="仿宋"/>
                <w:sz w:val="24"/>
                <w:szCs w:val="24"/>
              </w:rPr>
              <w:t>AA</w:t>
            </w:r>
          </w:p>
        </w:tc>
        <w:tc>
          <w:tcPr>
            <w:tcW w:w="1000" w:type="pct"/>
            <w:vAlign w:val="center"/>
          </w:tcPr>
          <w:p>
            <w:pPr>
              <w:ind w:firstLine="0" w:firstLineChars="0"/>
              <w:jc w:val="center"/>
              <w:rPr>
                <w:rFonts w:ascii="仿宋" w:hAnsi="仿宋" w:eastAsia="仿宋"/>
                <w:sz w:val="24"/>
                <w:szCs w:val="24"/>
              </w:rPr>
            </w:pPr>
            <w:r>
              <w:rPr>
                <w:rFonts w:ascii="仿宋" w:hAnsi="仿宋" w:eastAsia="仿宋"/>
                <w:sz w:val="24"/>
                <w:szCs w:val="24"/>
              </w:rPr>
              <w:t>A</w:t>
            </w:r>
          </w:p>
        </w:tc>
        <w:tc>
          <w:tcPr>
            <w:tcW w:w="1000" w:type="pct"/>
            <w:vAlign w:val="center"/>
          </w:tcPr>
          <w:p>
            <w:pPr>
              <w:ind w:firstLine="0" w:firstLineChars="0"/>
              <w:jc w:val="center"/>
              <w:rPr>
                <w:rFonts w:ascii="仿宋" w:hAnsi="仿宋" w:eastAsia="仿宋"/>
                <w:sz w:val="24"/>
                <w:szCs w:val="24"/>
              </w:rPr>
            </w:pPr>
            <w:r>
              <w:rPr>
                <w:rFonts w:ascii="仿宋" w:hAnsi="仿宋" w:eastAsia="仿宋"/>
                <w:sz w:val="24"/>
                <w:szCs w:val="24"/>
              </w:rPr>
              <w:t>B</w:t>
            </w:r>
          </w:p>
        </w:tc>
        <w:tc>
          <w:tcPr>
            <w:tcW w:w="1000"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r>
              <w:rPr>
                <w:rFonts w:hint="eastAsia" w:ascii="仿宋" w:hAnsi="仿宋" w:eastAsia="仿宋"/>
                <w:sz w:val="24"/>
                <w:szCs w:val="24"/>
              </w:rPr>
              <w:t>且＞2</w:t>
            </w:r>
            <w:r>
              <w:rPr>
                <w:rFonts w:ascii="仿宋" w:hAnsi="仿宋" w:eastAsia="仿宋"/>
                <w:sz w:val="24"/>
                <w:szCs w:val="24"/>
              </w:rPr>
              <w:t>0</w:t>
            </w:r>
          </w:p>
        </w:tc>
        <w:tc>
          <w:tcPr>
            <w:tcW w:w="1000" w:type="pct"/>
            <w:vAlign w:val="center"/>
          </w:tcPr>
          <w:p>
            <w:pPr>
              <w:ind w:firstLine="0" w:firstLineChars="0"/>
              <w:jc w:val="center"/>
              <w:rPr>
                <w:rFonts w:ascii="仿宋" w:hAnsi="仿宋" w:eastAsia="仿宋"/>
                <w:sz w:val="24"/>
                <w:szCs w:val="24"/>
              </w:rPr>
            </w:pPr>
            <w:r>
              <w:rPr>
                <w:rFonts w:ascii="仿宋" w:hAnsi="仿宋" w:eastAsia="仿宋"/>
                <w:sz w:val="24"/>
                <w:szCs w:val="24"/>
              </w:rPr>
              <w:t>A</w:t>
            </w:r>
          </w:p>
        </w:tc>
        <w:tc>
          <w:tcPr>
            <w:tcW w:w="1000" w:type="pct"/>
            <w:vAlign w:val="center"/>
          </w:tcPr>
          <w:p>
            <w:pPr>
              <w:ind w:firstLine="0" w:firstLineChars="0"/>
              <w:jc w:val="center"/>
              <w:rPr>
                <w:rFonts w:ascii="仿宋" w:hAnsi="仿宋" w:eastAsia="仿宋"/>
                <w:sz w:val="24"/>
                <w:szCs w:val="24"/>
              </w:rPr>
            </w:pPr>
            <w:r>
              <w:rPr>
                <w:rFonts w:ascii="仿宋" w:hAnsi="仿宋" w:eastAsia="仿宋"/>
                <w:sz w:val="24"/>
                <w:szCs w:val="24"/>
              </w:rPr>
              <w:t>B</w:t>
            </w:r>
          </w:p>
        </w:tc>
        <w:tc>
          <w:tcPr>
            <w:tcW w:w="1000" w:type="pct"/>
            <w:vAlign w:val="center"/>
          </w:tcPr>
          <w:p>
            <w:pPr>
              <w:ind w:firstLine="0" w:firstLineChars="0"/>
              <w:jc w:val="center"/>
              <w:rPr>
                <w:rFonts w:ascii="仿宋" w:hAnsi="仿宋" w:eastAsia="仿宋"/>
                <w:sz w:val="24"/>
                <w:szCs w:val="24"/>
              </w:rPr>
            </w:pPr>
            <w:r>
              <w:rPr>
                <w:rFonts w:ascii="仿宋" w:hAnsi="仿宋" w:eastAsia="仿宋"/>
                <w:sz w:val="24"/>
                <w:szCs w:val="24"/>
              </w:rPr>
              <w:t>C</w:t>
            </w:r>
          </w:p>
        </w:tc>
        <w:tc>
          <w:tcPr>
            <w:tcW w:w="1000"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0</w:t>
            </w:r>
          </w:p>
        </w:tc>
        <w:tc>
          <w:tcPr>
            <w:tcW w:w="1000" w:type="pct"/>
            <w:vAlign w:val="center"/>
          </w:tcPr>
          <w:p>
            <w:pPr>
              <w:ind w:firstLine="0" w:firstLineChars="0"/>
              <w:jc w:val="center"/>
              <w:rPr>
                <w:rFonts w:ascii="仿宋" w:hAnsi="仿宋" w:eastAsia="仿宋"/>
                <w:sz w:val="24"/>
                <w:szCs w:val="24"/>
              </w:rPr>
            </w:pPr>
            <w:r>
              <w:rPr>
                <w:rFonts w:ascii="仿宋" w:hAnsi="仿宋" w:eastAsia="仿宋"/>
                <w:sz w:val="24"/>
                <w:szCs w:val="24"/>
              </w:rPr>
              <w:t>B</w:t>
            </w:r>
          </w:p>
        </w:tc>
        <w:tc>
          <w:tcPr>
            <w:tcW w:w="1000" w:type="pct"/>
            <w:vAlign w:val="center"/>
          </w:tcPr>
          <w:p>
            <w:pPr>
              <w:ind w:firstLine="0" w:firstLineChars="0"/>
              <w:jc w:val="center"/>
              <w:rPr>
                <w:rFonts w:ascii="仿宋" w:hAnsi="仿宋" w:eastAsia="仿宋"/>
                <w:sz w:val="24"/>
                <w:szCs w:val="24"/>
              </w:rPr>
            </w:pPr>
            <w:r>
              <w:rPr>
                <w:rFonts w:ascii="仿宋" w:hAnsi="仿宋" w:eastAsia="仿宋"/>
                <w:sz w:val="24"/>
                <w:szCs w:val="24"/>
              </w:rPr>
              <w:t>C</w:t>
            </w:r>
          </w:p>
        </w:tc>
        <w:tc>
          <w:tcPr>
            <w:tcW w:w="1000" w:type="pct"/>
            <w:vAlign w:val="center"/>
          </w:tcPr>
          <w:p>
            <w:pPr>
              <w:ind w:firstLine="0" w:firstLineChars="0"/>
              <w:jc w:val="center"/>
              <w:rPr>
                <w:rFonts w:ascii="仿宋" w:hAnsi="仿宋" w:eastAsia="仿宋"/>
                <w:sz w:val="24"/>
                <w:szCs w:val="24"/>
              </w:rPr>
            </w:pPr>
            <w:r>
              <w:rPr>
                <w:rFonts w:ascii="仿宋" w:hAnsi="仿宋" w:eastAsia="仿宋"/>
                <w:sz w:val="24"/>
                <w:szCs w:val="24"/>
              </w:rPr>
              <w:t>C</w:t>
            </w:r>
          </w:p>
        </w:tc>
        <w:tc>
          <w:tcPr>
            <w:tcW w:w="1000"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不合格</w:t>
            </w:r>
          </w:p>
        </w:tc>
      </w:tr>
    </w:tbl>
    <w:p>
      <w:pPr>
        <w:spacing w:line="560" w:lineRule="exact"/>
        <w:ind w:firstLine="640"/>
        <w:rPr>
          <w:rFonts w:ascii="仿宋" w:hAnsi="仿宋" w:eastAsia="仿宋"/>
          <w:sz w:val="32"/>
        </w:rPr>
      </w:pPr>
      <w:r>
        <w:rPr>
          <w:rFonts w:hint="eastAsia" w:ascii="仿宋" w:hAnsi="仿宋" w:eastAsia="仿宋"/>
          <w:sz w:val="32"/>
        </w:rPr>
        <w:t>主做市商在负责做市的合约品种月度双边成交量占市场的比例达到5%或以上，上调一个等级，AA级不再上调</w:t>
      </w:r>
      <w:r>
        <w:rPr>
          <w:rFonts w:hint="eastAsia"/>
          <w:sz w:val="32"/>
        </w:rPr>
        <w:t>；</w:t>
      </w:r>
      <w:r>
        <w:rPr>
          <w:rFonts w:hint="eastAsia" w:ascii="仿宋" w:hAnsi="仿宋" w:eastAsia="仿宋"/>
          <w:sz w:val="32"/>
        </w:rPr>
        <w:t>主做市商在负责做市的合约品种月度双边成交量占市场的比例不足1%，下调一个等级，C级不再下调。</w:t>
      </w:r>
    </w:p>
    <w:p>
      <w:pPr>
        <w:spacing w:line="560" w:lineRule="exact"/>
        <w:ind w:firstLine="640"/>
        <w:rPr>
          <w:sz w:val="32"/>
        </w:rPr>
      </w:pPr>
      <w:r>
        <w:rPr>
          <w:rFonts w:hint="eastAsia" w:ascii="仿宋" w:hAnsi="仿宋" w:eastAsia="仿宋"/>
          <w:sz w:val="32"/>
        </w:rPr>
        <w:t>本所可以根据品种运行的实际情况取消或调整成交量调整机制，以本所另行通知为准。</w:t>
      </w:r>
    </w:p>
    <w:p>
      <w:pPr>
        <w:pStyle w:val="5"/>
        <w:spacing w:line="560" w:lineRule="exact"/>
        <w:ind w:firstLine="640"/>
        <w:rPr>
          <w:rFonts w:ascii="仿宋" w:hAnsi="仿宋" w:eastAsia="仿宋"/>
          <w:sz w:val="32"/>
        </w:rPr>
      </w:pPr>
      <w:r>
        <w:rPr>
          <w:rFonts w:hint="eastAsia" w:ascii="仿宋" w:hAnsi="仿宋" w:eastAsia="仿宋"/>
          <w:sz w:val="32"/>
        </w:rPr>
        <w:t>（二）一般做市商</w:t>
      </w:r>
    </w:p>
    <w:p>
      <w:pPr>
        <w:spacing w:line="560" w:lineRule="exact"/>
        <w:ind w:firstLine="640"/>
        <w:rPr>
          <w:rFonts w:ascii="仿宋" w:hAnsi="仿宋" w:eastAsia="仿宋"/>
          <w:sz w:val="32"/>
        </w:rPr>
      </w:pPr>
      <w:r>
        <w:rPr>
          <w:rFonts w:hint="eastAsia" w:ascii="仿宋" w:hAnsi="仿宋" w:eastAsia="仿宋"/>
          <w:sz w:val="32"/>
        </w:rPr>
        <w:t>本所按每个合约品种，每个自然月对一般做市商的回应报价做市情况进行绩效评价。</w:t>
      </w:r>
    </w:p>
    <w:p>
      <w:pPr>
        <w:spacing w:line="560" w:lineRule="exact"/>
        <w:ind w:firstLine="640"/>
        <w:rPr>
          <w:rFonts w:ascii="仿宋" w:hAnsi="仿宋" w:eastAsia="仿宋"/>
          <w:sz w:val="32"/>
        </w:rPr>
      </w:pPr>
      <w:r>
        <w:rPr>
          <w:rFonts w:hint="eastAsia" w:ascii="仿宋" w:hAnsi="仿宋" w:eastAsia="仿宋"/>
          <w:sz w:val="32"/>
        </w:rPr>
        <w:t>一般做市商合格标准为回应报价参与率达到</w:t>
      </w:r>
      <w:r>
        <w:rPr>
          <w:rFonts w:ascii="仿宋" w:hAnsi="仿宋" w:eastAsia="仿宋"/>
          <w:sz w:val="32"/>
        </w:rPr>
        <w:t>70%</w:t>
      </w:r>
      <w:r>
        <w:rPr>
          <w:rFonts w:hint="eastAsia" w:ascii="仿宋" w:hAnsi="仿宋" w:eastAsia="仿宋"/>
          <w:sz w:val="32"/>
        </w:rPr>
        <w:t>（含）。一般做市商的持续报价不进行评价，指定做市合约除外。</w:t>
      </w:r>
    </w:p>
    <w:p>
      <w:pPr>
        <w:spacing w:line="560" w:lineRule="exact"/>
        <w:ind w:firstLine="640"/>
        <w:rPr>
          <w:rFonts w:ascii="仿宋" w:hAnsi="仿宋" w:eastAsia="仿宋"/>
          <w:sz w:val="32"/>
        </w:rPr>
      </w:pPr>
      <w:r>
        <w:rPr>
          <w:rFonts w:hint="eastAsia" w:ascii="仿宋" w:hAnsi="仿宋" w:eastAsia="仿宋"/>
          <w:sz w:val="32"/>
        </w:rPr>
        <w:t>对于合格一般做市商，按照回应报价参与率确定绩效评价结果。</w:t>
      </w:r>
    </w:p>
    <w:p>
      <w:pPr>
        <w:spacing w:line="560" w:lineRule="exact"/>
        <w:ind w:firstLine="0" w:firstLineChars="0"/>
        <w:jc w:val="center"/>
        <w:rPr>
          <w:rFonts w:ascii="仿宋" w:hAnsi="仿宋"/>
          <w:sz w:val="32"/>
        </w:rPr>
      </w:pPr>
      <w:r>
        <w:rPr>
          <w:rFonts w:hint="eastAsia" w:ascii="仿宋" w:hAnsi="仿宋" w:eastAsia="仿宋"/>
          <w:sz w:val="32"/>
        </w:rPr>
        <w:t>表</w:t>
      </w:r>
      <w:r>
        <w:rPr>
          <w:rFonts w:ascii="仿宋" w:hAnsi="仿宋" w:eastAsia="仿宋"/>
          <w:sz w:val="32"/>
        </w:rPr>
        <w:t xml:space="preserve">2 </w:t>
      </w:r>
      <w:r>
        <w:rPr>
          <w:rFonts w:hint="eastAsia" w:ascii="仿宋" w:hAnsi="仿宋" w:eastAsia="仿宋"/>
          <w:sz w:val="32"/>
        </w:rPr>
        <w:t>一般做市商绩效月度评价</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3"/>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回应报价参与率（</w:t>
            </w:r>
            <w:r>
              <w:rPr>
                <w:rFonts w:ascii="仿宋" w:hAnsi="仿宋" w:eastAsia="仿宋"/>
                <w:sz w:val="24"/>
                <w:szCs w:val="24"/>
              </w:rPr>
              <w:t>%</w:t>
            </w:r>
            <w:r>
              <w:rPr>
                <w:rFonts w:hint="eastAsia" w:ascii="仿宋" w:hAnsi="仿宋" w:eastAsia="仿宋"/>
                <w:sz w:val="24"/>
                <w:szCs w:val="24"/>
              </w:rPr>
              <w:t>）</w:t>
            </w:r>
          </w:p>
        </w:tc>
        <w:tc>
          <w:tcPr>
            <w:tcW w:w="2553"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90</w:t>
            </w:r>
          </w:p>
        </w:tc>
        <w:tc>
          <w:tcPr>
            <w:tcW w:w="2553" w:type="pct"/>
            <w:shd w:val="clear" w:color="auto" w:fill="auto"/>
            <w:vAlign w:val="center"/>
          </w:tcPr>
          <w:p>
            <w:pPr>
              <w:ind w:firstLine="0" w:firstLineChars="0"/>
              <w:jc w:val="center"/>
              <w:rPr>
                <w:rFonts w:ascii="仿宋" w:hAnsi="仿宋" w:eastAsia="仿宋"/>
                <w:sz w:val="24"/>
                <w:szCs w:val="24"/>
              </w:rPr>
            </w:pPr>
            <w:r>
              <w:rPr>
                <w:rFonts w:ascii="仿宋" w:hAnsi="仿宋" w:eastAsia="仿宋"/>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80</w:t>
            </w:r>
            <w:r>
              <w:rPr>
                <w:rFonts w:hint="eastAsia" w:ascii="仿宋" w:hAnsi="仿宋" w:eastAsia="仿宋"/>
                <w:sz w:val="24"/>
                <w:szCs w:val="24"/>
              </w:rPr>
              <w:t>且</w:t>
            </w:r>
            <w:r>
              <w:rPr>
                <w:rFonts w:ascii="仿宋" w:hAnsi="仿宋" w:eastAsia="仿宋"/>
                <w:sz w:val="24"/>
                <w:szCs w:val="24"/>
              </w:rPr>
              <w:t>&lt;90</w:t>
            </w:r>
          </w:p>
        </w:tc>
        <w:tc>
          <w:tcPr>
            <w:tcW w:w="2553" w:type="pct"/>
            <w:shd w:val="clear" w:color="auto" w:fill="auto"/>
            <w:vAlign w:val="center"/>
          </w:tcPr>
          <w:p>
            <w:pPr>
              <w:ind w:firstLine="0" w:firstLineChars="0"/>
              <w:jc w:val="center"/>
              <w:rPr>
                <w:rFonts w:ascii="仿宋" w:hAnsi="仿宋" w:eastAsia="仿宋"/>
                <w:sz w:val="24"/>
                <w:szCs w:val="24"/>
              </w:rPr>
            </w:pPr>
            <w:r>
              <w:rPr>
                <w:rFonts w:ascii="仿宋" w:hAnsi="仿宋" w:eastAsia="仿宋"/>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70</w:t>
            </w:r>
            <w:r>
              <w:rPr>
                <w:rFonts w:hint="eastAsia" w:ascii="仿宋" w:hAnsi="仿宋" w:eastAsia="仿宋"/>
                <w:sz w:val="24"/>
                <w:szCs w:val="24"/>
              </w:rPr>
              <w:t>且</w:t>
            </w:r>
            <w:r>
              <w:rPr>
                <w:rFonts w:ascii="仿宋" w:hAnsi="仿宋" w:eastAsia="仿宋"/>
                <w:sz w:val="24"/>
                <w:szCs w:val="24"/>
              </w:rPr>
              <w:t>&lt;80</w:t>
            </w:r>
          </w:p>
        </w:tc>
        <w:tc>
          <w:tcPr>
            <w:tcW w:w="2553" w:type="pct"/>
            <w:shd w:val="clear" w:color="auto" w:fill="auto"/>
            <w:vAlign w:val="center"/>
          </w:tcPr>
          <w:p>
            <w:pPr>
              <w:ind w:firstLine="0" w:firstLineChars="0"/>
              <w:jc w:val="center"/>
              <w:rPr>
                <w:rFonts w:ascii="仿宋" w:hAnsi="仿宋" w:eastAsia="仿宋"/>
                <w:sz w:val="24"/>
                <w:szCs w:val="24"/>
              </w:rPr>
            </w:pPr>
            <w:r>
              <w:rPr>
                <w:rFonts w:ascii="仿宋" w:hAnsi="仿宋" w:eastAsia="仿宋"/>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shd w:val="clear" w:color="auto" w:fill="auto"/>
            <w:vAlign w:val="center"/>
          </w:tcPr>
          <w:p>
            <w:pPr>
              <w:ind w:firstLine="0" w:firstLineChars="0"/>
              <w:jc w:val="center"/>
              <w:rPr>
                <w:rFonts w:ascii="仿宋" w:hAnsi="仿宋" w:eastAsia="仿宋"/>
                <w:sz w:val="24"/>
                <w:szCs w:val="24"/>
              </w:rPr>
            </w:pPr>
            <w:r>
              <w:rPr>
                <w:rFonts w:ascii="仿宋" w:hAnsi="仿宋" w:eastAsia="仿宋"/>
                <w:sz w:val="24"/>
                <w:szCs w:val="24"/>
              </w:rPr>
              <w:t>&lt;</w:t>
            </w:r>
            <w:r>
              <w:rPr>
                <w:rFonts w:hint="eastAsia" w:ascii="仿宋" w:hAnsi="仿宋" w:eastAsia="仿宋"/>
                <w:sz w:val="24"/>
                <w:szCs w:val="24"/>
              </w:rPr>
              <w:t>7</w:t>
            </w:r>
            <w:r>
              <w:rPr>
                <w:rFonts w:ascii="仿宋" w:hAnsi="仿宋" w:eastAsia="仿宋"/>
                <w:sz w:val="24"/>
                <w:szCs w:val="24"/>
              </w:rPr>
              <w:t>0</w:t>
            </w:r>
          </w:p>
        </w:tc>
        <w:tc>
          <w:tcPr>
            <w:tcW w:w="2553"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不合格</w:t>
            </w:r>
          </w:p>
        </w:tc>
      </w:tr>
    </w:tbl>
    <w:p>
      <w:pPr>
        <w:spacing w:line="560" w:lineRule="exact"/>
        <w:ind w:firstLine="640"/>
        <w:rPr>
          <w:rFonts w:ascii="仿宋" w:hAnsi="仿宋" w:eastAsia="仿宋"/>
          <w:sz w:val="32"/>
        </w:rPr>
      </w:pPr>
      <w:r>
        <w:rPr>
          <w:rFonts w:hint="eastAsia" w:ascii="仿宋" w:hAnsi="仿宋" w:eastAsia="仿宋"/>
          <w:sz w:val="32"/>
        </w:rPr>
        <w:t>（三）年度评价</w:t>
      </w:r>
    </w:p>
    <w:p>
      <w:pPr>
        <w:spacing w:line="560" w:lineRule="exact"/>
        <w:ind w:firstLine="640"/>
        <w:rPr>
          <w:rFonts w:ascii="仿宋" w:hAnsi="仿宋" w:eastAsia="仿宋"/>
          <w:sz w:val="32"/>
          <w:lang w:val="zh-CN"/>
        </w:rPr>
      </w:pPr>
      <w:r>
        <w:rPr>
          <w:rFonts w:hint="eastAsia" w:ascii="仿宋" w:hAnsi="仿宋" w:eastAsia="仿宋"/>
          <w:sz w:val="32"/>
          <w:lang w:val="zh-CN"/>
        </w:rPr>
        <w:t>本所可以对做市商年度做市情况进行综合评价，并向市场公告。</w:t>
      </w:r>
    </w:p>
    <w:p>
      <w:pPr>
        <w:pStyle w:val="5"/>
        <w:spacing w:line="560" w:lineRule="exact"/>
        <w:ind w:firstLine="640"/>
        <w:rPr>
          <w:rFonts w:ascii="仿宋" w:hAnsi="仿宋" w:eastAsia="仿宋"/>
          <w:sz w:val="32"/>
        </w:rPr>
      </w:pPr>
      <w:r>
        <w:rPr>
          <w:rFonts w:hint="eastAsia" w:ascii="仿宋" w:hAnsi="仿宋" w:eastAsia="仿宋"/>
          <w:sz w:val="32"/>
        </w:rPr>
        <w:t>（四）指定做市合约评价</w:t>
      </w:r>
    </w:p>
    <w:p>
      <w:pPr>
        <w:spacing w:line="560" w:lineRule="exact"/>
        <w:ind w:firstLine="640"/>
        <w:rPr>
          <w:rFonts w:ascii="仿宋" w:hAnsi="仿宋" w:eastAsia="仿宋"/>
          <w:sz w:val="32"/>
        </w:rPr>
      </w:pPr>
      <w:r>
        <w:rPr>
          <w:rFonts w:hint="eastAsia" w:ascii="仿宋" w:hAnsi="仿宋" w:eastAsia="仿宋"/>
          <w:sz w:val="32"/>
        </w:rPr>
        <w:t>对于主做市商，本所对指定做市合约的价差率指标和参与率指标进行适当的调整后，纳入合约品种的相应指标计算；对于一般做市商，本所根据指定做市合约的价差率指标和参与率指标，对绩效评价结果进行适当的调整。</w:t>
      </w:r>
    </w:p>
    <w:p>
      <w:pPr>
        <w:spacing w:line="560" w:lineRule="exact"/>
        <w:ind w:firstLine="640"/>
        <w:rPr>
          <w:rFonts w:ascii="仿宋" w:hAnsi="仿宋" w:eastAsia="仿宋"/>
          <w:sz w:val="32"/>
        </w:rPr>
      </w:pPr>
    </w:p>
    <w:p>
      <w:pPr>
        <w:pStyle w:val="5"/>
        <w:spacing w:line="560" w:lineRule="exact"/>
        <w:ind w:firstLine="640"/>
        <w:rPr>
          <w:rFonts w:ascii="仿宋" w:hAnsi="仿宋" w:eastAsia="仿宋"/>
          <w:sz w:val="32"/>
        </w:rPr>
      </w:pPr>
      <w:r>
        <w:rPr>
          <w:rFonts w:hint="eastAsia" w:ascii="仿宋" w:hAnsi="仿宋" w:eastAsia="仿宋"/>
          <w:sz w:val="32"/>
        </w:rPr>
        <w:t>（五）补充条款</w:t>
      </w:r>
    </w:p>
    <w:p>
      <w:pPr>
        <w:spacing w:line="560" w:lineRule="exact"/>
        <w:ind w:firstLine="640"/>
        <w:rPr>
          <w:rFonts w:ascii="仿宋" w:hAnsi="仿宋" w:eastAsia="仿宋"/>
          <w:sz w:val="32"/>
        </w:rPr>
      </w:pPr>
      <w:r>
        <w:rPr>
          <w:rFonts w:hint="eastAsia" w:ascii="仿宋" w:hAnsi="仿宋" w:eastAsia="仿宋"/>
          <w:sz w:val="32"/>
        </w:rPr>
        <w:t>做市商违反《指引》、本所其他规定或者做市协议约定的，本所可以调低其评价结果。本所可根据实际情况调整做市商评价方法。</w:t>
      </w:r>
    </w:p>
    <w:p>
      <w:pPr>
        <w:pStyle w:val="4"/>
        <w:spacing w:before="0" w:line="560" w:lineRule="exact"/>
        <w:ind w:firstLine="640"/>
        <w:rPr>
          <w:rFonts w:ascii="黑体" w:hAnsi="黑体" w:eastAsia="黑体"/>
          <w:b w:val="0"/>
          <w:sz w:val="32"/>
        </w:rPr>
      </w:pPr>
      <w:bookmarkStart w:id="92" w:name="_Toc9374"/>
      <w:bookmarkStart w:id="93" w:name="_Toc67332317"/>
      <w:bookmarkStart w:id="94" w:name="_Toc21683"/>
      <w:r>
        <w:rPr>
          <w:rFonts w:hint="eastAsia" w:ascii="黑体" w:hAnsi="黑体" w:eastAsia="黑体"/>
          <w:b w:val="0"/>
          <w:sz w:val="32"/>
        </w:rPr>
        <w:t>三、评价调整</w:t>
      </w:r>
      <w:bookmarkEnd w:id="92"/>
      <w:bookmarkEnd w:id="93"/>
      <w:bookmarkEnd w:id="94"/>
    </w:p>
    <w:p>
      <w:pPr>
        <w:pStyle w:val="5"/>
        <w:spacing w:line="560" w:lineRule="exact"/>
        <w:ind w:firstLine="640"/>
        <w:rPr>
          <w:rFonts w:ascii="仿宋" w:hAnsi="仿宋" w:eastAsia="仿宋"/>
          <w:sz w:val="32"/>
        </w:rPr>
      </w:pPr>
      <w:r>
        <w:rPr>
          <w:rFonts w:hint="eastAsia" w:ascii="仿宋" w:hAnsi="仿宋" w:eastAsia="仿宋"/>
          <w:sz w:val="32"/>
        </w:rPr>
        <w:t>（一）月度调整</w:t>
      </w:r>
    </w:p>
    <w:p>
      <w:pPr>
        <w:spacing w:line="560" w:lineRule="exact"/>
        <w:ind w:firstLine="640"/>
        <w:rPr>
          <w:rFonts w:ascii="仿宋" w:hAnsi="仿宋" w:eastAsia="仿宋"/>
          <w:sz w:val="32"/>
        </w:rPr>
      </w:pPr>
      <w:r>
        <w:rPr>
          <w:rFonts w:hint="eastAsia" w:ascii="仿宋" w:hAnsi="仿宋" w:eastAsia="仿宋"/>
          <w:sz w:val="32"/>
        </w:rPr>
        <w:t>做市商自然月内因做市业务收到</w:t>
      </w:r>
      <w:r>
        <w:rPr>
          <w:rFonts w:ascii="仿宋" w:hAnsi="仿宋" w:eastAsia="仿宋"/>
          <w:sz w:val="32"/>
        </w:rPr>
        <w:t>1</w:t>
      </w:r>
      <w:r>
        <w:rPr>
          <w:rFonts w:hint="eastAsia" w:ascii="仿宋" w:hAnsi="仿宋" w:eastAsia="仿宋"/>
          <w:sz w:val="32"/>
        </w:rPr>
        <w:t>次本所书面监管函的，当月全部合约品种评价下调一级；收到</w:t>
      </w:r>
      <w:r>
        <w:rPr>
          <w:rFonts w:ascii="仿宋" w:hAnsi="仿宋" w:eastAsia="仿宋"/>
          <w:sz w:val="32"/>
        </w:rPr>
        <w:t>2</w:t>
      </w:r>
      <w:r>
        <w:rPr>
          <w:rFonts w:hint="eastAsia" w:ascii="仿宋" w:hAnsi="仿宋" w:eastAsia="仿宋"/>
          <w:sz w:val="32"/>
        </w:rPr>
        <w:t>次及以上书面监管函的，当月全部合约品种评价下调至不合格。</w:t>
      </w:r>
    </w:p>
    <w:p>
      <w:pPr>
        <w:pStyle w:val="5"/>
        <w:spacing w:line="560" w:lineRule="exact"/>
        <w:ind w:firstLine="640"/>
        <w:rPr>
          <w:rFonts w:ascii="仿宋" w:hAnsi="仿宋" w:eastAsia="仿宋"/>
          <w:sz w:val="32"/>
        </w:rPr>
      </w:pPr>
      <w:r>
        <w:rPr>
          <w:rFonts w:hint="eastAsia" w:ascii="仿宋" w:hAnsi="仿宋" w:eastAsia="仿宋"/>
          <w:sz w:val="32"/>
        </w:rPr>
        <w:t>（二）年度调整</w:t>
      </w:r>
    </w:p>
    <w:p>
      <w:pPr>
        <w:spacing w:line="560" w:lineRule="exact"/>
        <w:ind w:firstLine="640"/>
        <w:rPr>
          <w:rFonts w:ascii="仿宋" w:hAnsi="仿宋" w:eastAsia="仿宋"/>
          <w:sz w:val="32"/>
        </w:rPr>
      </w:pPr>
      <w:r>
        <w:rPr>
          <w:rFonts w:hint="eastAsia" w:ascii="仿宋" w:hAnsi="仿宋" w:eastAsia="仿宋"/>
          <w:sz w:val="32"/>
        </w:rPr>
        <w:t>做市商1年内因做市业务收到</w:t>
      </w:r>
      <w:r>
        <w:rPr>
          <w:rFonts w:ascii="仿宋" w:hAnsi="仿宋" w:eastAsia="仿宋"/>
          <w:sz w:val="32"/>
        </w:rPr>
        <w:t>3</w:t>
      </w:r>
      <w:r>
        <w:rPr>
          <w:rFonts w:hint="eastAsia" w:ascii="仿宋" w:hAnsi="仿宋" w:eastAsia="仿宋"/>
          <w:sz w:val="32"/>
        </w:rPr>
        <w:t>次及以上本所书面监管函的，取消全部合约品种做市资格。</w:t>
      </w:r>
    </w:p>
    <w:p>
      <w:pPr>
        <w:pStyle w:val="5"/>
        <w:spacing w:line="560" w:lineRule="exact"/>
        <w:ind w:firstLine="640"/>
        <w:rPr>
          <w:rFonts w:ascii="仿宋" w:hAnsi="仿宋" w:eastAsia="仿宋"/>
          <w:sz w:val="32"/>
        </w:rPr>
      </w:pPr>
      <w:r>
        <w:rPr>
          <w:rFonts w:hint="eastAsia" w:ascii="仿宋" w:hAnsi="仿宋" w:eastAsia="仿宋"/>
          <w:sz w:val="32"/>
        </w:rPr>
        <w:t>（三）其他情况调整</w:t>
      </w:r>
    </w:p>
    <w:p>
      <w:pPr>
        <w:spacing w:line="560" w:lineRule="exact"/>
        <w:ind w:firstLine="640"/>
        <w:rPr>
          <w:rFonts w:ascii="仿宋" w:hAnsi="仿宋" w:eastAsia="仿宋"/>
          <w:sz w:val="32"/>
        </w:rPr>
      </w:pPr>
      <w:r>
        <w:rPr>
          <w:rFonts w:hint="eastAsia" w:ascii="仿宋" w:hAnsi="仿宋" w:eastAsia="仿宋"/>
          <w:sz w:val="32"/>
        </w:rPr>
        <w:t>做市商因做市业务违规情节严重、受到证监会行政处罚或本所纪律处分的，当月评价不合格，取消全部合约品种做市资格，且自资格取消之日起</w:t>
      </w:r>
      <w:r>
        <w:rPr>
          <w:rFonts w:ascii="仿宋" w:hAnsi="仿宋" w:eastAsia="仿宋"/>
          <w:sz w:val="32"/>
        </w:rPr>
        <w:t>1</w:t>
      </w:r>
      <w:r>
        <w:rPr>
          <w:rFonts w:hint="eastAsia" w:ascii="仿宋" w:hAnsi="仿宋" w:eastAsia="仿宋"/>
          <w:sz w:val="32"/>
        </w:rPr>
        <w:t>年内不得重新申请为本所合约品种提供做市服务。</w:t>
      </w:r>
    </w:p>
    <w:p>
      <w:pPr>
        <w:pStyle w:val="4"/>
        <w:spacing w:before="0" w:line="560" w:lineRule="exact"/>
        <w:ind w:firstLine="640"/>
        <w:rPr>
          <w:rFonts w:ascii="黑体" w:hAnsi="黑体" w:eastAsia="黑体"/>
          <w:b w:val="0"/>
          <w:sz w:val="32"/>
        </w:rPr>
      </w:pPr>
      <w:bookmarkStart w:id="95" w:name="_Toc24980"/>
      <w:bookmarkStart w:id="96" w:name="_Toc12021"/>
      <w:bookmarkStart w:id="97" w:name="_Toc67332318"/>
      <w:r>
        <w:rPr>
          <w:rFonts w:hint="eastAsia" w:ascii="黑体" w:hAnsi="黑体" w:eastAsia="黑体"/>
          <w:b w:val="0"/>
          <w:sz w:val="32"/>
        </w:rPr>
        <w:t>四、交易费用减免和激励</w:t>
      </w:r>
      <w:bookmarkEnd w:id="95"/>
      <w:bookmarkEnd w:id="96"/>
      <w:bookmarkEnd w:id="97"/>
    </w:p>
    <w:p>
      <w:pPr>
        <w:spacing w:line="560" w:lineRule="exact"/>
        <w:ind w:firstLine="640"/>
        <w:rPr>
          <w:rFonts w:ascii="仿宋" w:hAnsi="仿宋" w:eastAsia="仿宋"/>
          <w:sz w:val="32"/>
        </w:rPr>
      </w:pPr>
      <w:r>
        <w:rPr>
          <w:rFonts w:hint="eastAsia" w:ascii="仿宋" w:hAnsi="仿宋" w:eastAsia="仿宋"/>
          <w:sz w:val="32"/>
        </w:rPr>
        <w:t>本所根据做市商上一月的绩效评价结果和当月做市商的成交（含双边报价订单和普通订单的成交），对做市商进行适当交易经手费的减免或激励。上月做市绩效不合格的做市商，当月不进行减免和激励。</w:t>
      </w:r>
    </w:p>
    <w:p>
      <w:pPr>
        <w:pStyle w:val="5"/>
        <w:spacing w:line="560" w:lineRule="exact"/>
        <w:ind w:firstLine="640"/>
        <w:rPr>
          <w:rFonts w:ascii="仿宋" w:hAnsi="仿宋" w:eastAsia="仿宋"/>
          <w:sz w:val="32"/>
        </w:rPr>
      </w:pPr>
      <w:r>
        <w:rPr>
          <w:rFonts w:hint="eastAsia" w:ascii="仿宋" w:hAnsi="仿宋" w:eastAsia="仿宋"/>
          <w:sz w:val="32"/>
        </w:rPr>
        <w:t>（一）连续竞价</w:t>
      </w:r>
    </w:p>
    <w:p>
      <w:pPr>
        <w:spacing w:line="560" w:lineRule="exact"/>
        <w:ind w:firstLine="640"/>
        <w:rPr>
          <w:rFonts w:ascii="仿宋" w:hAnsi="仿宋" w:eastAsia="仿宋"/>
          <w:sz w:val="32"/>
        </w:rPr>
      </w:pPr>
      <w:r>
        <w:rPr>
          <w:rFonts w:hint="eastAsia" w:ascii="仿宋" w:hAnsi="仿宋" w:eastAsia="仿宋"/>
          <w:sz w:val="32"/>
        </w:rPr>
        <w:t>本所根据成交记录，将做市商成交区分为流动性提供成交和流动性消耗成交。做市商以限价申报的成交记录中，申报时间早于对手方的，视为流动性提供成交，其余为流动性消耗成交。</w:t>
      </w:r>
    </w:p>
    <w:p>
      <w:pPr>
        <w:spacing w:line="560" w:lineRule="exact"/>
        <w:ind w:firstLine="640"/>
        <w:rPr>
          <w:rFonts w:ascii="仿宋" w:hAnsi="仿宋" w:eastAsia="仿宋"/>
          <w:sz w:val="32"/>
        </w:rPr>
      </w:pPr>
      <w:r>
        <w:rPr>
          <w:rFonts w:hint="eastAsia" w:ascii="仿宋" w:hAnsi="仿宋" w:eastAsia="仿宋"/>
          <w:sz w:val="32"/>
        </w:rPr>
        <w:t>主做市商连续竞价减免和激励标准如下：</w:t>
      </w:r>
    </w:p>
    <w:p>
      <w:pPr>
        <w:spacing w:line="560" w:lineRule="exact"/>
        <w:ind w:firstLine="0" w:firstLineChars="0"/>
        <w:jc w:val="center"/>
        <w:rPr>
          <w:rFonts w:ascii="仿宋" w:hAnsi="仿宋"/>
          <w:sz w:val="32"/>
        </w:rPr>
      </w:pPr>
      <w:r>
        <w:rPr>
          <w:rFonts w:hint="eastAsia" w:ascii="仿宋" w:hAnsi="仿宋" w:eastAsia="仿宋"/>
          <w:sz w:val="32"/>
        </w:rPr>
        <w:t>表3 主做市商减免和激励标准</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2530"/>
        <w:gridCol w:w="2716"/>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ind w:firstLine="0" w:firstLineChars="0"/>
              <w:jc w:val="center"/>
              <w:rPr>
                <w:rFonts w:ascii="仿宋" w:hAnsi="仿宋" w:eastAsia="仿宋"/>
                <w:sz w:val="24"/>
                <w:szCs w:val="24"/>
              </w:rPr>
            </w:pPr>
            <w:r>
              <w:rPr>
                <w:rFonts w:ascii="仿宋" w:hAnsi="仿宋" w:eastAsia="仿宋"/>
                <w:sz w:val="24"/>
                <w:szCs w:val="24"/>
              </w:rPr>
              <w:t>评价结果</w:t>
            </w:r>
          </w:p>
          <w:p>
            <w:pPr>
              <w:ind w:firstLine="0" w:firstLineChars="0"/>
              <w:jc w:val="center"/>
              <w:rPr>
                <w:rFonts w:ascii="仿宋" w:hAnsi="仿宋" w:eastAsia="仿宋"/>
                <w:sz w:val="24"/>
                <w:szCs w:val="24"/>
              </w:rPr>
            </w:pPr>
            <w:r>
              <w:rPr>
                <w:rFonts w:ascii="仿宋" w:hAnsi="仿宋" w:eastAsia="仿宋"/>
                <w:sz w:val="24"/>
                <w:szCs w:val="24"/>
              </w:rPr>
              <w:t>（上月）</w:t>
            </w:r>
          </w:p>
        </w:tc>
        <w:tc>
          <w:tcPr>
            <w:tcW w:w="1432"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流动性消耗成交</w:t>
            </w:r>
          </w:p>
          <w:p>
            <w:pPr>
              <w:ind w:firstLine="0" w:firstLineChars="0"/>
              <w:jc w:val="center"/>
              <w:rPr>
                <w:rFonts w:ascii="仿宋" w:hAnsi="仿宋" w:eastAsia="仿宋"/>
                <w:sz w:val="24"/>
                <w:szCs w:val="24"/>
              </w:rPr>
            </w:pPr>
            <w:r>
              <w:rPr>
                <w:rFonts w:hint="eastAsia" w:ascii="仿宋" w:hAnsi="仿宋" w:eastAsia="仿宋"/>
                <w:sz w:val="24"/>
                <w:szCs w:val="24"/>
              </w:rPr>
              <w:t>减免金额</w:t>
            </w:r>
          </w:p>
        </w:tc>
        <w:tc>
          <w:tcPr>
            <w:tcW w:w="1537"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流动性提供成交</w:t>
            </w:r>
          </w:p>
          <w:p>
            <w:pPr>
              <w:ind w:firstLine="0" w:firstLineChars="0"/>
              <w:jc w:val="center"/>
              <w:rPr>
                <w:rFonts w:ascii="仿宋" w:hAnsi="仿宋" w:eastAsia="仿宋"/>
                <w:sz w:val="24"/>
                <w:szCs w:val="24"/>
              </w:rPr>
            </w:pPr>
            <w:r>
              <w:rPr>
                <w:rFonts w:hint="eastAsia" w:ascii="仿宋" w:hAnsi="仿宋" w:eastAsia="仿宋"/>
                <w:sz w:val="24"/>
                <w:szCs w:val="24"/>
              </w:rPr>
              <w:t>减免金额</w:t>
            </w:r>
          </w:p>
        </w:tc>
        <w:tc>
          <w:tcPr>
            <w:tcW w:w="1328" w:type="pct"/>
          </w:tcPr>
          <w:p>
            <w:pPr>
              <w:ind w:firstLine="0" w:firstLineChars="0"/>
              <w:jc w:val="center"/>
              <w:rPr>
                <w:rFonts w:ascii="仿宋" w:hAnsi="仿宋" w:eastAsia="仿宋"/>
                <w:sz w:val="24"/>
                <w:szCs w:val="24"/>
              </w:rPr>
            </w:pPr>
            <w:r>
              <w:rPr>
                <w:rFonts w:hint="eastAsia" w:ascii="仿宋" w:hAnsi="仿宋" w:eastAsia="仿宋"/>
                <w:sz w:val="24"/>
                <w:szCs w:val="24"/>
              </w:rPr>
              <w:t>流动性提供成交</w:t>
            </w:r>
          </w:p>
          <w:p>
            <w:pPr>
              <w:ind w:firstLine="0" w:firstLineChars="0"/>
              <w:jc w:val="center"/>
              <w:rPr>
                <w:rFonts w:ascii="仿宋" w:hAnsi="仿宋" w:eastAsia="仿宋"/>
                <w:sz w:val="24"/>
                <w:szCs w:val="24"/>
              </w:rPr>
            </w:pPr>
            <w:r>
              <w:rPr>
                <w:rFonts w:hint="eastAsia" w:ascii="仿宋" w:hAnsi="仿宋" w:eastAsia="仿宋"/>
                <w:sz w:val="24"/>
                <w:szCs w:val="24"/>
              </w:rPr>
              <w:t>激励金额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ind w:firstLine="0" w:firstLineChars="0"/>
              <w:jc w:val="center"/>
              <w:rPr>
                <w:rFonts w:ascii="仿宋" w:hAnsi="仿宋" w:eastAsia="仿宋"/>
                <w:sz w:val="24"/>
                <w:szCs w:val="24"/>
              </w:rPr>
            </w:pPr>
            <w:r>
              <w:rPr>
                <w:rFonts w:ascii="仿宋" w:hAnsi="仿宋" w:eastAsia="仿宋"/>
                <w:sz w:val="24"/>
                <w:szCs w:val="24"/>
              </w:rPr>
              <w:t>AA</w:t>
            </w:r>
          </w:p>
        </w:tc>
        <w:tc>
          <w:tcPr>
            <w:tcW w:w="1432" w:type="pct"/>
            <w:vAlign w:val="center"/>
          </w:tcPr>
          <w:p>
            <w:pPr>
              <w:ind w:firstLine="0" w:firstLineChars="0"/>
              <w:jc w:val="center"/>
              <w:rPr>
                <w:rFonts w:ascii="仿宋" w:hAnsi="仿宋" w:eastAsia="仿宋"/>
                <w:sz w:val="24"/>
                <w:szCs w:val="24"/>
              </w:rPr>
            </w:pPr>
            <w:r>
              <w:rPr>
                <w:rFonts w:ascii="仿宋" w:hAnsi="仿宋" w:eastAsia="仿宋"/>
                <w:sz w:val="24"/>
                <w:szCs w:val="24"/>
              </w:rPr>
              <w:t>50%*标准交易经手费</w:t>
            </w:r>
          </w:p>
        </w:tc>
        <w:tc>
          <w:tcPr>
            <w:tcW w:w="1537"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100%*标准交易经手费</w:t>
            </w:r>
          </w:p>
        </w:tc>
        <w:tc>
          <w:tcPr>
            <w:tcW w:w="1328" w:type="pct"/>
          </w:tcPr>
          <w:p>
            <w:pPr>
              <w:ind w:firstLine="0" w:firstLineChars="0"/>
              <w:jc w:val="center"/>
              <w:rPr>
                <w:rFonts w:ascii="仿宋" w:hAnsi="仿宋" w:eastAsia="仿宋"/>
                <w:sz w:val="24"/>
                <w:szCs w:val="24"/>
              </w:rPr>
            </w:pPr>
            <w:r>
              <w:rPr>
                <w:rFonts w:hint="eastAsia" w:ascii="仿宋" w:hAnsi="仿宋" w:eastAsia="仿宋"/>
                <w:sz w:val="24"/>
                <w:szCs w:val="24"/>
              </w:rPr>
              <w:t>50%*对手方实收</w:t>
            </w:r>
          </w:p>
          <w:p>
            <w:pPr>
              <w:ind w:firstLine="0" w:firstLineChars="0"/>
              <w:jc w:val="center"/>
              <w:rPr>
                <w:rFonts w:ascii="仿宋" w:hAnsi="仿宋" w:eastAsia="仿宋"/>
                <w:sz w:val="24"/>
                <w:szCs w:val="24"/>
              </w:rPr>
            </w:pPr>
            <w:r>
              <w:rPr>
                <w:rFonts w:hint="eastAsia" w:ascii="仿宋" w:hAnsi="仿宋" w:eastAsia="仿宋"/>
                <w:sz w:val="24"/>
                <w:szCs w:val="24"/>
              </w:rPr>
              <w:t>交易经手费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ind w:firstLine="0" w:firstLineChars="0"/>
              <w:jc w:val="center"/>
              <w:rPr>
                <w:rFonts w:ascii="仿宋" w:hAnsi="仿宋" w:eastAsia="仿宋"/>
                <w:sz w:val="24"/>
                <w:szCs w:val="24"/>
              </w:rPr>
            </w:pPr>
            <w:r>
              <w:rPr>
                <w:rFonts w:ascii="仿宋" w:hAnsi="仿宋" w:eastAsia="仿宋"/>
                <w:sz w:val="24"/>
                <w:szCs w:val="24"/>
              </w:rPr>
              <w:t>A</w:t>
            </w:r>
          </w:p>
        </w:tc>
        <w:tc>
          <w:tcPr>
            <w:tcW w:w="1432" w:type="pct"/>
            <w:vAlign w:val="center"/>
          </w:tcPr>
          <w:p>
            <w:pPr>
              <w:ind w:firstLine="0" w:firstLineChars="0"/>
              <w:jc w:val="center"/>
              <w:rPr>
                <w:rFonts w:ascii="仿宋" w:hAnsi="仿宋" w:eastAsia="仿宋"/>
                <w:sz w:val="24"/>
                <w:szCs w:val="24"/>
              </w:rPr>
            </w:pPr>
            <w:r>
              <w:rPr>
                <w:rFonts w:ascii="仿宋" w:hAnsi="仿宋" w:eastAsia="仿宋"/>
                <w:sz w:val="24"/>
                <w:szCs w:val="24"/>
              </w:rPr>
              <w:t>30%*标准交易经手费</w:t>
            </w:r>
          </w:p>
        </w:tc>
        <w:tc>
          <w:tcPr>
            <w:tcW w:w="1537"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100%*标准交易经手费</w:t>
            </w:r>
          </w:p>
        </w:tc>
        <w:tc>
          <w:tcPr>
            <w:tcW w:w="1328" w:type="pct"/>
          </w:tcPr>
          <w:p>
            <w:pPr>
              <w:ind w:firstLine="0" w:firstLineChars="0"/>
              <w:jc w:val="center"/>
              <w:rPr>
                <w:rFonts w:ascii="仿宋" w:hAnsi="仿宋" w:eastAsia="仿宋"/>
                <w:sz w:val="24"/>
                <w:szCs w:val="24"/>
              </w:rPr>
            </w:pPr>
            <w:r>
              <w:rPr>
                <w:rFonts w:hint="eastAsia" w:ascii="仿宋" w:hAnsi="仿宋" w:eastAsia="仿宋"/>
                <w:sz w:val="24"/>
                <w:szCs w:val="24"/>
              </w:rPr>
              <w:t>30%*对手方实收</w:t>
            </w:r>
          </w:p>
          <w:p>
            <w:pPr>
              <w:ind w:firstLine="0" w:firstLineChars="0"/>
              <w:jc w:val="center"/>
              <w:rPr>
                <w:rFonts w:ascii="仿宋" w:hAnsi="仿宋" w:eastAsia="仿宋"/>
                <w:sz w:val="24"/>
                <w:szCs w:val="24"/>
              </w:rPr>
            </w:pPr>
            <w:r>
              <w:rPr>
                <w:rFonts w:hint="eastAsia" w:ascii="仿宋" w:hAnsi="仿宋" w:eastAsia="仿宋"/>
                <w:sz w:val="24"/>
                <w:szCs w:val="24"/>
              </w:rPr>
              <w:t>交易经手费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ind w:firstLine="0" w:firstLineChars="0"/>
              <w:jc w:val="center"/>
              <w:rPr>
                <w:rFonts w:ascii="仿宋" w:hAnsi="仿宋" w:eastAsia="仿宋"/>
                <w:sz w:val="24"/>
                <w:szCs w:val="24"/>
              </w:rPr>
            </w:pPr>
            <w:r>
              <w:rPr>
                <w:rFonts w:ascii="仿宋" w:hAnsi="仿宋" w:eastAsia="仿宋"/>
                <w:sz w:val="24"/>
                <w:szCs w:val="24"/>
              </w:rPr>
              <w:t>B</w:t>
            </w:r>
          </w:p>
        </w:tc>
        <w:tc>
          <w:tcPr>
            <w:tcW w:w="1432" w:type="pct"/>
            <w:vAlign w:val="center"/>
          </w:tcPr>
          <w:p>
            <w:pPr>
              <w:ind w:firstLine="0" w:firstLineChars="0"/>
              <w:jc w:val="center"/>
              <w:rPr>
                <w:rFonts w:ascii="仿宋" w:hAnsi="仿宋" w:eastAsia="仿宋"/>
                <w:sz w:val="24"/>
                <w:szCs w:val="24"/>
              </w:rPr>
            </w:pPr>
            <w:r>
              <w:rPr>
                <w:rFonts w:ascii="仿宋" w:hAnsi="仿宋" w:eastAsia="仿宋"/>
                <w:sz w:val="24"/>
                <w:szCs w:val="24"/>
              </w:rPr>
              <w:t>20%*标准交易经手费</w:t>
            </w:r>
          </w:p>
        </w:tc>
        <w:tc>
          <w:tcPr>
            <w:tcW w:w="1537"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100%*标准交易经手费</w:t>
            </w:r>
          </w:p>
        </w:tc>
        <w:tc>
          <w:tcPr>
            <w:tcW w:w="1328" w:type="pct"/>
          </w:tcPr>
          <w:p>
            <w:pPr>
              <w:ind w:firstLine="0" w:firstLineChars="0"/>
              <w:jc w:val="center"/>
              <w:rPr>
                <w:rFonts w:ascii="仿宋" w:hAnsi="仿宋" w:eastAsia="仿宋"/>
                <w:sz w:val="24"/>
                <w:szCs w:val="24"/>
              </w:rPr>
            </w:pPr>
            <w:r>
              <w:rPr>
                <w:rFonts w:hint="eastAsia" w:ascii="仿宋" w:hAnsi="仿宋" w:eastAsia="仿宋"/>
                <w:sz w:val="24"/>
                <w:szCs w:val="24"/>
              </w:rPr>
              <w:t>20%*对手方实收</w:t>
            </w:r>
          </w:p>
          <w:p>
            <w:pPr>
              <w:ind w:firstLine="0" w:firstLineChars="0"/>
              <w:jc w:val="center"/>
              <w:rPr>
                <w:rFonts w:ascii="仿宋" w:hAnsi="仿宋" w:eastAsia="仿宋"/>
                <w:sz w:val="24"/>
                <w:szCs w:val="24"/>
              </w:rPr>
            </w:pPr>
            <w:r>
              <w:rPr>
                <w:rFonts w:hint="eastAsia" w:ascii="仿宋" w:hAnsi="仿宋" w:eastAsia="仿宋"/>
                <w:sz w:val="24"/>
                <w:szCs w:val="24"/>
              </w:rPr>
              <w:t>交易经手费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ind w:firstLine="0" w:firstLineChars="0"/>
              <w:jc w:val="center"/>
              <w:rPr>
                <w:rFonts w:ascii="仿宋" w:hAnsi="仿宋" w:eastAsia="仿宋"/>
                <w:sz w:val="24"/>
                <w:szCs w:val="24"/>
              </w:rPr>
            </w:pPr>
            <w:r>
              <w:rPr>
                <w:rFonts w:ascii="仿宋" w:hAnsi="仿宋" w:eastAsia="仿宋"/>
                <w:sz w:val="24"/>
                <w:szCs w:val="24"/>
              </w:rPr>
              <w:t>C</w:t>
            </w:r>
          </w:p>
        </w:tc>
        <w:tc>
          <w:tcPr>
            <w:tcW w:w="1432" w:type="pct"/>
            <w:vAlign w:val="center"/>
          </w:tcPr>
          <w:p>
            <w:pPr>
              <w:ind w:firstLine="0" w:firstLineChars="0"/>
              <w:jc w:val="center"/>
              <w:rPr>
                <w:rFonts w:ascii="仿宋" w:hAnsi="仿宋" w:eastAsia="仿宋"/>
                <w:sz w:val="24"/>
                <w:szCs w:val="24"/>
              </w:rPr>
            </w:pPr>
            <w:r>
              <w:rPr>
                <w:rFonts w:ascii="仿宋" w:hAnsi="仿宋" w:eastAsia="仿宋"/>
                <w:sz w:val="24"/>
                <w:szCs w:val="24"/>
              </w:rPr>
              <w:t>10%*标准交易经手费</w:t>
            </w:r>
          </w:p>
        </w:tc>
        <w:tc>
          <w:tcPr>
            <w:tcW w:w="1537"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100%*标准交易经手费</w:t>
            </w:r>
          </w:p>
        </w:tc>
        <w:tc>
          <w:tcPr>
            <w:tcW w:w="1328" w:type="pct"/>
          </w:tcPr>
          <w:p>
            <w:pPr>
              <w:ind w:firstLine="0" w:firstLineChars="0"/>
              <w:jc w:val="center"/>
              <w:rPr>
                <w:rFonts w:ascii="仿宋" w:hAnsi="仿宋" w:eastAsia="仿宋"/>
                <w:sz w:val="24"/>
                <w:szCs w:val="24"/>
              </w:rPr>
            </w:pPr>
            <w:r>
              <w:rPr>
                <w:rFonts w:hint="eastAsia" w:ascii="仿宋" w:hAnsi="仿宋" w:eastAsia="仿宋"/>
                <w:sz w:val="24"/>
                <w:szCs w:val="24"/>
              </w:rPr>
              <w:t>10%*对手方实收</w:t>
            </w:r>
          </w:p>
          <w:p>
            <w:pPr>
              <w:ind w:firstLine="0" w:firstLineChars="0"/>
              <w:jc w:val="center"/>
              <w:rPr>
                <w:rFonts w:ascii="仿宋" w:hAnsi="仿宋" w:eastAsia="仿宋"/>
                <w:sz w:val="24"/>
                <w:szCs w:val="24"/>
              </w:rPr>
            </w:pPr>
            <w:r>
              <w:rPr>
                <w:rFonts w:hint="eastAsia" w:ascii="仿宋" w:hAnsi="仿宋" w:eastAsia="仿宋"/>
                <w:sz w:val="24"/>
                <w:szCs w:val="24"/>
              </w:rPr>
              <w:t>交易经手费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pct"/>
            <w:vAlign w:val="center"/>
          </w:tcPr>
          <w:p>
            <w:pPr>
              <w:ind w:firstLine="0" w:firstLineChars="0"/>
              <w:jc w:val="center"/>
              <w:rPr>
                <w:rFonts w:ascii="仿宋" w:hAnsi="仿宋" w:eastAsia="仿宋"/>
                <w:sz w:val="24"/>
                <w:szCs w:val="24"/>
              </w:rPr>
            </w:pPr>
            <w:r>
              <w:rPr>
                <w:rFonts w:ascii="仿宋" w:hAnsi="仿宋" w:eastAsia="仿宋"/>
                <w:sz w:val="24"/>
                <w:szCs w:val="24"/>
              </w:rPr>
              <w:t>不合格</w:t>
            </w:r>
          </w:p>
        </w:tc>
        <w:tc>
          <w:tcPr>
            <w:tcW w:w="1432"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无</w:t>
            </w:r>
          </w:p>
        </w:tc>
        <w:tc>
          <w:tcPr>
            <w:tcW w:w="1537" w:type="pct"/>
            <w:vAlign w:val="center"/>
          </w:tcPr>
          <w:p>
            <w:pPr>
              <w:ind w:firstLine="0" w:firstLineChars="0"/>
              <w:jc w:val="center"/>
              <w:rPr>
                <w:rFonts w:ascii="仿宋" w:hAnsi="仿宋" w:eastAsia="仿宋"/>
                <w:sz w:val="24"/>
                <w:szCs w:val="24"/>
              </w:rPr>
            </w:pPr>
            <w:r>
              <w:rPr>
                <w:rFonts w:hint="eastAsia" w:ascii="仿宋" w:hAnsi="仿宋" w:eastAsia="仿宋"/>
                <w:sz w:val="24"/>
                <w:szCs w:val="24"/>
              </w:rPr>
              <w:t>无</w:t>
            </w:r>
          </w:p>
        </w:tc>
        <w:tc>
          <w:tcPr>
            <w:tcW w:w="1328" w:type="pct"/>
          </w:tcPr>
          <w:p>
            <w:pPr>
              <w:ind w:firstLine="0" w:firstLineChars="0"/>
              <w:jc w:val="center"/>
              <w:rPr>
                <w:rFonts w:ascii="仿宋" w:hAnsi="仿宋" w:eastAsia="仿宋"/>
                <w:sz w:val="24"/>
                <w:szCs w:val="24"/>
              </w:rPr>
            </w:pPr>
            <w:r>
              <w:rPr>
                <w:rFonts w:hint="eastAsia" w:ascii="仿宋" w:hAnsi="仿宋" w:eastAsia="仿宋"/>
                <w:sz w:val="24"/>
                <w:szCs w:val="24"/>
              </w:rPr>
              <w:t>无</w:t>
            </w:r>
          </w:p>
        </w:tc>
      </w:tr>
    </w:tbl>
    <w:p>
      <w:pPr>
        <w:spacing w:line="560" w:lineRule="exact"/>
        <w:ind w:firstLine="640"/>
        <w:rPr>
          <w:rFonts w:ascii="仿宋" w:hAnsi="仿宋" w:eastAsia="仿宋"/>
          <w:sz w:val="32"/>
        </w:rPr>
      </w:pPr>
      <w:r>
        <w:rPr>
          <w:rFonts w:hint="eastAsia" w:ascii="仿宋" w:hAnsi="仿宋" w:eastAsia="仿宋"/>
          <w:sz w:val="32"/>
        </w:rPr>
        <w:t>一般做市商减免标准如下：</w:t>
      </w:r>
    </w:p>
    <w:p>
      <w:pPr>
        <w:spacing w:line="560" w:lineRule="exact"/>
        <w:ind w:firstLine="0" w:firstLineChars="0"/>
        <w:jc w:val="center"/>
        <w:rPr>
          <w:rFonts w:ascii="仿宋" w:hAnsi="仿宋" w:eastAsia="仿宋"/>
          <w:sz w:val="32"/>
        </w:rPr>
      </w:pPr>
      <w:r>
        <w:rPr>
          <w:rFonts w:hint="eastAsia" w:ascii="仿宋" w:hAnsi="仿宋" w:eastAsia="仿宋"/>
          <w:sz w:val="32"/>
        </w:rPr>
        <w:t>表4 一般做市商减免标准</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3194"/>
        <w:gridCol w:w="3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pct"/>
          </w:tcPr>
          <w:p>
            <w:pPr>
              <w:ind w:firstLine="0" w:firstLineChars="0"/>
              <w:jc w:val="center"/>
              <w:rPr>
                <w:rFonts w:ascii="仿宋" w:hAnsi="仿宋" w:eastAsia="仿宋"/>
                <w:sz w:val="24"/>
              </w:rPr>
            </w:pPr>
            <w:r>
              <w:rPr>
                <w:rFonts w:ascii="仿宋" w:hAnsi="仿宋" w:eastAsia="仿宋"/>
                <w:sz w:val="24"/>
              </w:rPr>
              <w:t>评价结果（上月）</w:t>
            </w:r>
          </w:p>
        </w:tc>
        <w:tc>
          <w:tcPr>
            <w:tcW w:w="1808" w:type="pct"/>
          </w:tcPr>
          <w:p>
            <w:pPr>
              <w:ind w:firstLine="0" w:firstLineChars="0"/>
              <w:jc w:val="center"/>
              <w:rPr>
                <w:rFonts w:ascii="仿宋" w:hAnsi="仿宋" w:eastAsia="仿宋"/>
                <w:sz w:val="24"/>
              </w:rPr>
            </w:pPr>
            <w:r>
              <w:rPr>
                <w:rFonts w:hint="eastAsia" w:ascii="仿宋" w:hAnsi="仿宋" w:eastAsia="仿宋"/>
                <w:sz w:val="24"/>
              </w:rPr>
              <w:t>流动性消耗成交减免金额</w:t>
            </w:r>
          </w:p>
        </w:tc>
        <w:tc>
          <w:tcPr>
            <w:tcW w:w="1808" w:type="pct"/>
          </w:tcPr>
          <w:p>
            <w:pPr>
              <w:ind w:firstLine="0" w:firstLineChars="0"/>
              <w:jc w:val="center"/>
              <w:rPr>
                <w:rFonts w:ascii="仿宋" w:hAnsi="仿宋" w:eastAsia="仿宋"/>
                <w:sz w:val="24"/>
              </w:rPr>
            </w:pPr>
            <w:r>
              <w:rPr>
                <w:rFonts w:hint="eastAsia" w:ascii="仿宋" w:hAnsi="仿宋" w:eastAsia="仿宋"/>
                <w:sz w:val="24"/>
              </w:rPr>
              <w:t>流动性提供成交减免金额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pct"/>
          </w:tcPr>
          <w:p>
            <w:pPr>
              <w:ind w:firstLine="0" w:firstLineChars="0"/>
              <w:jc w:val="center"/>
              <w:rPr>
                <w:rFonts w:ascii="仿宋" w:hAnsi="仿宋" w:eastAsia="仿宋"/>
                <w:sz w:val="24"/>
              </w:rPr>
            </w:pPr>
            <w:r>
              <w:rPr>
                <w:rFonts w:ascii="仿宋" w:hAnsi="仿宋" w:eastAsia="仿宋"/>
                <w:sz w:val="24"/>
              </w:rPr>
              <w:t>A</w:t>
            </w:r>
          </w:p>
        </w:tc>
        <w:tc>
          <w:tcPr>
            <w:tcW w:w="1808" w:type="pct"/>
          </w:tcPr>
          <w:p>
            <w:pPr>
              <w:ind w:firstLine="0" w:firstLineChars="0"/>
              <w:jc w:val="center"/>
              <w:rPr>
                <w:rFonts w:ascii="仿宋" w:hAnsi="仿宋" w:eastAsia="仿宋"/>
                <w:sz w:val="24"/>
              </w:rPr>
            </w:pPr>
            <w:r>
              <w:rPr>
                <w:rFonts w:ascii="仿宋" w:hAnsi="仿宋" w:eastAsia="仿宋"/>
                <w:sz w:val="24"/>
              </w:rPr>
              <w:t>30%*标准交易经手费</w:t>
            </w:r>
          </w:p>
        </w:tc>
        <w:tc>
          <w:tcPr>
            <w:tcW w:w="1808" w:type="pct"/>
          </w:tcPr>
          <w:p>
            <w:pPr>
              <w:ind w:firstLine="0" w:firstLineChars="0"/>
              <w:jc w:val="center"/>
              <w:rPr>
                <w:rFonts w:ascii="仿宋" w:hAnsi="仿宋" w:eastAsia="仿宋"/>
                <w:sz w:val="24"/>
              </w:rPr>
            </w:pPr>
            <w:r>
              <w:rPr>
                <w:rFonts w:hint="eastAsia" w:ascii="仿宋" w:hAnsi="仿宋" w:eastAsia="仿宋"/>
                <w:sz w:val="24"/>
                <w:szCs w:val="24"/>
              </w:rPr>
              <w:t>100%*标准交易经手费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pct"/>
          </w:tcPr>
          <w:p>
            <w:pPr>
              <w:ind w:firstLine="0" w:firstLineChars="0"/>
              <w:jc w:val="center"/>
              <w:rPr>
                <w:rFonts w:ascii="仿宋" w:hAnsi="仿宋" w:eastAsia="仿宋"/>
                <w:sz w:val="24"/>
              </w:rPr>
            </w:pPr>
            <w:r>
              <w:rPr>
                <w:rFonts w:ascii="仿宋" w:hAnsi="仿宋" w:eastAsia="仿宋"/>
                <w:sz w:val="24"/>
              </w:rPr>
              <w:t>B</w:t>
            </w:r>
          </w:p>
        </w:tc>
        <w:tc>
          <w:tcPr>
            <w:tcW w:w="1808" w:type="pct"/>
          </w:tcPr>
          <w:p>
            <w:pPr>
              <w:ind w:firstLine="0" w:firstLineChars="0"/>
              <w:jc w:val="center"/>
              <w:rPr>
                <w:rFonts w:ascii="仿宋" w:hAnsi="仿宋" w:eastAsia="仿宋"/>
                <w:sz w:val="24"/>
              </w:rPr>
            </w:pPr>
            <w:r>
              <w:rPr>
                <w:rFonts w:ascii="仿宋" w:hAnsi="仿宋" w:eastAsia="仿宋"/>
                <w:sz w:val="24"/>
              </w:rPr>
              <w:t>20%*标准交易经手费</w:t>
            </w:r>
          </w:p>
        </w:tc>
        <w:tc>
          <w:tcPr>
            <w:tcW w:w="1808" w:type="pct"/>
          </w:tcPr>
          <w:p>
            <w:pPr>
              <w:ind w:firstLine="0" w:firstLineChars="0"/>
              <w:jc w:val="center"/>
              <w:rPr>
                <w:rFonts w:ascii="仿宋" w:hAnsi="仿宋" w:eastAsia="仿宋"/>
                <w:sz w:val="24"/>
              </w:rPr>
            </w:pPr>
            <w:r>
              <w:rPr>
                <w:rFonts w:hint="eastAsia" w:ascii="仿宋" w:hAnsi="仿宋" w:eastAsia="仿宋"/>
                <w:sz w:val="24"/>
                <w:szCs w:val="24"/>
              </w:rPr>
              <w:t>100%*标准交易经手费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pct"/>
          </w:tcPr>
          <w:p>
            <w:pPr>
              <w:ind w:firstLine="0" w:firstLineChars="0"/>
              <w:jc w:val="center"/>
              <w:rPr>
                <w:rFonts w:ascii="仿宋" w:hAnsi="仿宋" w:eastAsia="仿宋"/>
                <w:sz w:val="24"/>
              </w:rPr>
            </w:pPr>
            <w:r>
              <w:rPr>
                <w:rFonts w:ascii="仿宋" w:hAnsi="仿宋" w:eastAsia="仿宋"/>
                <w:sz w:val="24"/>
              </w:rPr>
              <w:t>C</w:t>
            </w:r>
          </w:p>
        </w:tc>
        <w:tc>
          <w:tcPr>
            <w:tcW w:w="1808" w:type="pct"/>
          </w:tcPr>
          <w:p>
            <w:pPr>
              <w:ind w:firstLine="0" w:firstLineChars="0"/>
              <w:jc w:val="center"/>
              <w:rPr>
                <w:rFonts w:ascii="仿宋" w:hAnsi="仿宋" w:eastAsia="仿宋"/>
                <w:sz w:val="24"/>
              </w:rPr>
            </w:pPr>
            <w:r>
              <w:rPr>
                <w:rFonts w:ascii="仿宋" w:hAnsi="仿宋" w:eastAsia="仿宋"/>
                <w:sz w:val="24"/>
              </w:rPr>
              <w:t>10%*标准交易经手费</w:t>
            </w:r>
          </w:p>
        </w:tc>
        <w:tc>
          <w:tcPr>
            <w:tcW w:w="1808" w:type="pct"/>
          </w:tcPr>
          <w:p>
            <w:pPr>
              <w:ind w:firstLine="0" w:firstLineChars="0"/>
              <w:jc w:val="center"/>
              <w:rPr>
                <w:rFonts w:ascii="仿宋" w:hAnsi="仿宋" w:eastAsia="仿宋"/>
                <w:sz w:val="24"/>
              </w:rPr>
            </w:pPr>
            <w:r>
              <w:rPr>
                <w:rFonts w:hint="eastAsia" w:ascii="仿宋" w:hAnsi="仿宋" w:eastAsia="仿宋"/>
                <w:sz w:val="24"/>
                <w:szCs w:val="24"/>
              </w:rPr>
              <w:t>100%*标准交易经手费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pct"/>
          </w:tcPr>
          <w:p>
            <w:pPr>
              <w:ind w:firstLine="0" w:firstLineChars="0"/>
              <w:jc w:val="center"/>
              <w:rPr>
                <w:rFonts w:ascii="仿宋" w:hAnsi="仿宋" w:eastAsia="仿宋"/>
                <w:sz w:val="24"/>
              </w:rPr>
            </w:pPr>
            <w:r>
              <w:rPr>
                <w:rFonts w:ascii="仿宋" w:hAnsi="仿宋" w:eastAsia="仿宋"/>
                <w:sz w:val="24"/>
              </w:rPr>
              <w:t>不合格</w:t>
            </w:r>
          </w:p>
        </w:tc>
        <w:tc>
          <w:tcPr>
            <w:tcW w:w="1808" w:type="pct"/>
          </w:tcPr>
          <w:p>
            <w:pPr>
              <w:ind w:firstLine="0" w:firstLineChars="0"/>
              <w:jc w:val="center"/>
              <w:rPr>
                <w:rFonts w:ascii="仿宋" w:hAnsi="仿宋" w:eastAsia="仿宋"/>
                <w:sz w:val="24"/>
              </w:rPr>
            </w:pPr>
            <w:r>
              <w:rPr>
                <w:rFonts w:hint="eastAsia" w:ascii="仿宋" w:hAnsi="仿宋" w:eastAsia="仿宋"/>
                <w:sz w:val="24"/>
              </w:rPr>
              <w:t>无</w:t>
            </w:r>
          </w:p>
        </w:tc>
        <w:tc>
          <w:tcPr>
            <w:tcW w:w="1808" w:type="pct"/>
          </w:tcPr>
          <w:p>
            <w:pPr>
              <w:ind w:firstLine="0" w:firstLineChars="0"/>
              <w:jc w:val="center"/>
              <w:rPr>
                <w:rFonts w:ascii="仿宋" w:hAnsi="仿宋" w:eastAsia="仿宋"/>
                <w:sz w:val="24"/>
              </w:rPr>
            </w:pPr>
            <w:r>
              <w:rPr>
                <w:rFonts w:hint="eastAsia" w:ascii="仿宋" w:hAnsi="仿宋" w:eastAsia="仿宋"/>
                <w:sz w:val="24"/>
                <w:szCs w:val="24"/>
              </w:rPr>
              <w:t>无</w:t>
            </w:r>
          </w:p>
        </w:tc>
      </w:tr>
    </w:tbl>
    <w:p/>
    <w:p/>
    <w:p>
      <w:pPr>
        <w:pStyle w:val="5"/>
        <w:spacing w:line="560" w:lineRule="exact"/>
        <w:ind w:firstLine="640"/>
        <w:rPr>
          <w:rFonts w:ascii="仿宋" w:hAnsi="仿宋" w:eastAsia="仿宋"/>
          <w:sz w:val="32"/>
        </w:rPr>
      </w:pPr>
      <w:r>
        <w:rPr>
          <w:rFonts w:hint="eastAsia" w:ascii="仿宋" w:hAnsi="仿宋" w:eastAsia="仿宋"/>
          <w:sz w:val="32"/>
        </w:rPr>
        <w:t>（二）集合竞价</w:t>
      </w:r>
    </w:p>
    <w:p>
      <w:pPr>
        <w:spacing w:line="560" w:lineRule="exact"/>
        <w:ind w:firstLine="640"/>
        <w:rPr>
          <w:rFonts w:hint="eastAsia" w:ascii="仿宋" w:hAnsi="仿宋" w:eastAsia="仿宋"/>
          <w:sz w:val="32"/>
        </w:rPr>
      </w:pPr>
      <w:r>
        <w:rPr>
          <w:rFonts w:hint="eastAsia" w:ascii="仿宋" w:hAnsi="仿宋" w:eastAsia="仿宋"/>
          <w:sz w:val="32"/>
        </w:rPr>
        <w:t>对做市商在开盘集合竞价、盘中熔断触发的集合竞价以及收盘集合竞价中的成交，暂免交易经手费。</w:t>
      </w:r>
    </w:p>
    <w:p>
      <w:pPr>
        <w:spacing w:line="560" w:lineRule="exact"/>
        <w:ind w:firstLine="640"/>
        <w:rPr>
          <w:rFonts w:hint="eastAsia" w:ascii="仿宋" w:hAnsi="仿宋" w:eastAsia="仿宋"/>
          <w:sz w:val="32"/>
          <w:lang w:eastAsia="zh-CN"/>
        </w:rPr>
      </w:pPr>
      <w:r>
        <w:rPr>
          <w:rFonts w:hint="eastAsia" w:ascii="仿宋" w:hAnsi="仿宋" w:eastAsia="仿宋"/>
          <w:sz w:val="32"/>
          <w:lang w:eastAsia="zh-CN"/>
        </w:rPr>
        <w:t>（三）做市首月</w:t>
      </w:r>
    </w:p>
    <w:p>
      <w:pPr>
        <w:spacing w:line="560" w:lineRule="exact"/>
        <w:ind w:firstLine="640"/>
        <w:rPr>
          <w:rFonts w:hint="eastAsia" w:ascii="仿宋" w:hAnsi="仿宋" w:eastAsia="仿宋"/>
          <w:sz w:val="32"/>
          <w:lang w:eastAsia="zh-CN"/>
        </w:rPr>
      </w:pPr>
      <w:r>
        <w:rPr>
          <w:rFonts w:hint="eastAsia" w:ascii="仿宋" w:hAnsi="仿宋" w:eastAsia="仿宋"/>
          <w:sz w:val="32"/>
          <w:lang w:eastAsia="zh-CN"/>
        </w:rPr>
        <w:t>主做市商提供做市服务的首月按</w:t>
      </w:r>
      <w:r>
        <w:rPr>
          <w:rFonts w:hint="eastAsia" w:ascii="仿宋" w:hAnsi="仿宋" w:eastAsia="仿宋"/>
          <w:sz w:val="32"/>
          <w:lang w:val="en-US" w:eastAsia="zh-CN"/>
        </w:rPr>
        <w:t>C</w:t>
      </w:r>
      <w:r>
        <w:rPr>
          <w:rFonts w:hint="eastAsia" w:ascii="仿宋" w:hAnsi="仿宋" w:eastAsia="仿宋"/>
          <w:sz w:val="32"/>
          <w:lang w:eastAsia="zh-CN"/>
        </w:rPr>
        <w:t>级进行减免和激励。一般做市商提供做市服务的首月不进行减免。</w:t>
      </w:r>
    </w:p>
    <w:p>
      <w:pPr>
        <w:spacing w:line="560" w:lineRule="exact"/>
        <w:ind w:firstLine="640"/>
        <w:rPr>
          <w:rFonts w:ascii="仿宋" w:hAnsi="仿宋" w:eastAsia="仿宋"/>
          <w:sz w:val="32"/>
        </w:rPr>
      </w:pPr>
      <w:r>
        <w:rPr>
          <w:rFonts w:hint="eastAsia" w:ascii="仿宋" w:hAnsi="仿宋" w:eastAsia="仿宋"/>
          <w:sz w:val="32"/>
        </w:rPr>
        <w:t>（</w:t>
      </w:r>
      <w:r>
        <w:rPr>
          <w:rFonts w:hint="eastAsia" w:ascii="仿宋" w:hAnsi="仿宋" w:eastAsia="仿宋"/>
          <w:sz w:val="32"/>
          <w:lang w:eastAsia="zh-CN"/>
        </w:rPr>
        <w:t>四</w:t>
      </w:r>
      <w:r>
        <w:rPr>
          <w:rFonts w:hint="eastAsia" w:ascii="仿宋" w:hAnsi="仿宋" w:eastAsia="仿宋"/>
          <w:sz w:val="32"/>
        </w:rPr>
        <w:t>）补充条款</w:t>
      </w:r>
    </w:p>
    <w:p>
      <w:pPr>
        <w:spacing w:line="560" w:lineRule="exact"/>
        <w:ind w:firstLine="640"/>
      </w:pPr>
      <w:r>
        <w:rPr>
          <w:rFonts w:hint="eastAsia" w:ascii="仿宋" w:hAnsi="仿宋" w:eastAsia="仿宋"/>
          <w:sz w:val="32"/>
        </w:rPr>
        <w:t>做市商因不可抗力、意外事件或者技术故障等导致无法继续对合约品种提供做市服务，向本所报告豁免做市义务的，豁免期间成交不进行减免和激励。</w:t>
      </w:r>
    </w:p>
    <w:p>
      <w:pPr>
        <w:widowControl/>
        <w:spacing w:line="560" w:lineRule="exact"/>
        <w:ind w:firstLine="0" w:firstLineChars="0"/>
        <w:jc w:val="left"/>
        <w:rPr>
          <w:rFonts w:ascii="仿宋" w:hAnsi="仿宋" w:eastAsia="黑体"/>
          <w:sz w:val="32"/>
        </w:rPr>
      </w:pPr>
      <w:r>
        <w:rPr>
          <w:rFonts w:ascii="仿宋" w:hAnsi="仿宋"/>
          <w:sz w:val="32"/>
        </w:rPr>
        <w:br w:type="page"/>
      </w:r>
    </w:p>
    <w:p>
      <w:pPr>
        <w:pStyle w:val="3"/>
        <w:spacing w:before="204" w:beforeLines="50" w:after="204" w:afterLines="50" w:line="560" w:lineRule="exact"/>
        <w:ind w:firstLine="0" w:firstLineChars="0"/>
        <w:jc w:val="center"/>
        <w:outlineLvl w:val="0"/>
        <w:rPr>
          <w:rFonts w:ascii="黑体" w:hAnsi="黑体" w:eastAsia="黑体"/>
          <w:bCs/>
          <w:sz w:val="32"/>
        </w:rPr>
      </w:pPr>
      <w:bookmarkStart w:id="98" w:name="_Toc4810"/>
      <w:bookmarkStart w:id="99" w:name="_Toc67332319"/>
      <w:bookmarkStart w:id="100" w:name="_Toc15495"/>
      <w:r>
        <w:rPr>
          <w:rFonts w:hint="eastAsia" w:ascii="黑体" w:hAnsi="黑体" w:eastAsia="黑体"/>
          <w:bCs/>
          <w:sz w:val="32"/>
        </w:rPr>
        <w:t>第六章</w:t>
      </w:r>
      <w:r>
        <w:rPr>
          <w:rFonts w:ascii="黑体" w:hAnsi="黑体" w:eastAsia="黑体"/>
          <w:bCs/>
          <w:sz w:val="32"/>
        </w:rPr>
        <w:t xml:space="preserve"> </w:t>
      </w:r>
      <w:r>
        <w:rPr>
          <w:rFonts w:hint="eastAsia" w:ascii="黑体" w:hAnsi="黑体" w:eastAsia="黑体"/>
          <w:bCs/>
          <w:sz w:val="32"/>
        </w:rPr>
        <w:t>风险管理</w:t>
      </w:r>
      <w:bookmarkEnd w:id="98"/>
      <w:bookmarkEnd w:id="99"/>
      <w:bookmarkEnd w:id="100"/>
    </w:p>
    <w:p>
      <w:pPr>
        <w:spacing w:line="560" w:lineRule="exact"/>
        <w:ind w:firstLine="640"/>
        <w:rPr>
          <w:rFonts w:ascii="仿宋" w:hAnsi="仿宋" w:eastAsia="仿宋"/>
          <w:sz w:val="32"/>
        </w:rPr>
      </w:pPr>
      <w:r>
        <w:rPr>
          <w:rFonts w:hint="eastAsia" w:ascii="仿宋" w:hAnsi="仿宋" w:eastAsia="仿宋"/>
          <w:sz w:val="32"/>
        </w:rPr>
        <w:t>做市商应具备符合要求的技术系统、风险管理和内部控制制度、以及动态风险监控系统，加强对市场风险、模型风险、存货风险、流动性风险、操作风险等业务风险的识别、监测和控制。</w:t>
      </w:r>
    </w:p>
    <w:p>
      <w:pPr>
        <w:pStyle w:val="4"/>
        <w:spacing w:before="0" w:line="560" w:lineRule="exact"/>
        <w:ind w:firstLine="640"/>
        <w:rPr>
          <w:rFonts w:ascii="黑体" w:hAnsi="黑体" w:eastAsia="黑体"/>
          <w:b w:val="0"/>
          <w:sz w:val="32"/>
        </w:rPr>
      </w:pPr>
      <w:bookmarkStart w:id="101" w:name="_Toc67332320"/>
      <w:bookmarkStart w:id="102" w:name="_Toc11434"/>
      <w:bookmarkStart w:id="103" w:name="_Toc3096"/>
      <w:r>
        <w:rPr>
          <w:rFonts w:hint="eastAsia" w:ascii="黑体" w:hAnsi="黑体" w:eastAsia="黑体"/>
          <w:b w:val="0"/>
          <w:sz w:val="32"/>
        </w:rPr>
        <w:t>一、做市业务部门的风险管理</w:t>
      </w:r>
      <w:bookmarkEnd w:id="101"/>
      <w:bookmarkEnd w:id="102"/>
      <w:bookmarkEnd w:id="103"/>
    </w:p>
    <w:p>
      <w:pPr>
        <w:pStyle w:val="5"/>
        <w:spacing w:line="560" w:lineRule="exact"/>
        <w:ind w:firstLine="640"/>
        <w:rPr>
          <w:rFonts w:ascii="仿宋" w:hAnsi="仿宋" w:eastAsia="仿宋"/>
          <w:sz w:val="32"/>
        </w:rPr>
      </w:pPr>
      <w:r>
        <w:rPr>
          <w:rFonts w:hint="eastAsia" w:ascii="仿宋" w:hAnsi="仿宋" w:eastAsia="仿宋"/>
          <w:sz w:val="32"/>
        </w:rPr>
        <w:t>（一）风险管理制度</w:t>
      </w:r>
    </w:p>
    <w:p>
      <w:pPr>
        <w:spacing w:line="560" w:lineRule="exact"/>
        <w:ind w:firstLine="640"/>
        <w:rPr>
          <w:rFonts w:ascii="仿宋" w:hAnsi="仿宋" w:eastAsia="仿宋"/>
          <w:sz w:val="32"/>
        </w:rPr>
      </w:pPr>
      <w:r>
        <w:rPr>
          <w:rFonts w:hint="eastAsia" w:ascii="仿宋" w:hAnsi="仿宋" w:eastAsia="仿宋"/>
          <w:sz w:val="32"/>
        </w:rPr>
        <w:t>做市业务部门需制定期权做市业务风险管理制度，内容包括但不限于股票期权做市业务风险管理方案、风险指标设计、风险识别与评估、风险控制与处置、定期报告机制、压力测试的情景设置和分析、强平规则和风险处置流程等。</w:t>
      </w:r>
    </w:p>
    <w:p>
      <w:pPr>
        <w:spacing w:line="560" w:lineRule="exact"/>
        <w:ind w:firstLine="640"/>
        <w:rPr>
          <w:rFonts w:ascii="仿宋" w:hAnsi="仿宋" w:eastAsia="仿宋"/>
          <w:sz w:val="32"/>
        </w:rPr>
      </w:pPr>
      <w:r>
        <w:rPr>
          <w:rFonts w:hint="eastAsia" w:ascii="仿宋" w:hAnsi="仿宋" w:eastAsia="仿宋"/>
          <w:sz w:val="32"/>
        </w:rPr>
        <w:t>做市业务部门需制定股票期权做市业务应急预案，以应对期权做市业务中的突发事件，保障做市业务平稳开展。</w:t>
      </w:r>
    </w:p>
    <w:p>
      <w:pPr>
        <w:pStyle w:val="5"/>
        <w:spacing w:line="560" w:lineRule="exact"/>
        <w:ind w:firstLine="640"/>
        <w:rPr>
          <w:rFonts w:ascii="仿宋" w:hAnsi="仿宋" w:eastAsia="仿宋"/>
          <w:sz w:val="32"/>
        </w:rPr>
      </w:pPr>
      <w:r>
        <w:rPr>
          <w:rFonts w:hint="eastAsia" w:ascii="仿宋" w:hAnsi="仿宋" w:eastAsia="仿宋"/>
          <w:sz w:val="32"/>
        </w:rPr>
        <w:t>（二）监控与预警</w:t>
      </w:r>
    </w:p>
    <w:p>
      <w:pPr>
        <w:spacing w:line="560" w:lineRule="exact"/>
        <w:ind w:firstLine="640"/>
        <w:rPr>
          <w:rFonts w:ascii="仿宋" w:hAnsi="仿宋" w:eastAsia="仿宋"/>
          <w:sz w:val="32"/>
        </w:rPr>
      </w:pPr>
      <w:r>
        <w:rPr>
          <w:rFonts w:hint="eastAsia" w:ascii="仿宋" w:hAnsi="仿宋" w:eastAsia="仿宋"/>
          <w:sz w:val="32"/>
        </w:rPr>
        <w:t>做市业务部门需科学、合理设计做市业务风险指标，并进行实时监控和预警，包括但不限于存货风险指标、希腊字母值、波动率曲线（面）、保证金风险指标、持仓限额指标、大头针风险、申报笔数管理指标、可投资标的管理等方面；同时需对交易员误操作风险进行有效监控与预警。</w:t>
      </w:r>
    </w:p>
    <w:p>
      <w:pPr>
        <w:pStyle w:val="5"/>
        <w:spacing w:line="560" w:lineRule="exact"/>
        <w:ind w:firstLine="640"/>
        <w:rPr>
          <w:rFonts w:ascii="仿宋" w:hAnsi="仿宋" w:eastAsia="仿宋"/>
          <w:sz w:val="32"/>
        </w:rPr>
      </w:pPr>
      <w:r>
        <w:rPr>
          <w:rFonts w:hint="eastAsia" w:ascii="仿宋" w:hAnsi="仿宋" w:eastAsia="仿宋"/>
          <w:sz w:val="32"/>
        </w:rPr>
        <w:t>（三）内部风险报告机制</w:t>
      </w:r>
    </w:p>
    <w:p>
      <w:pPr>
        <w:spacing w:line="560" w:lineRule="exact"/>
        <w:ind w:firstLine="640"/>
        <w:rPr>
          <w:rFonts w:ascii="仿宋" w:hAnsi="仿宋" w:eastAsia="仿宋"/>
          <w:sz w:val="32"/>
        </w:rPr>
      </w:pPr>
      <w:r>
        <w:rPr>
          <w:rFonts w:hint="eastAsia" w:ascii="仿宋" w:hAnsi="仿宋" w:eastAsia="仿宋"/>
          <w:sz w:val="32"/>
        </w:rPr>
        <w:t>做市商需建立做市业务的风险报告机制。报告分为定期报告和临时报告。</w:t>
      </w:r>
    </w:p>
    <w:p>
      <w:pPr>
        <w:spacing w:line="560" w:lineRule="exact"/>
        <w:ind w:firstLine="640"/>
        <w:rPr>
          <w:rFonts w:ascii="仿宋" w:hAnsi="仿宋" w:eastAsia="仿宋"/>
          <w:sz w:val="32"/>
        </w:rPr>
      </w:pPr>
      <w:r>
        <w:rPr>
          <w:rFonts w:hint="eastAsia" w:ascii="仿宋" w:hAnsi="仿宋" w:eastAsia="仿宋"/>
          <w:sz w:val="32"/>
        </w:rPr>
        <w:t>定期报告由做市业务部门每日定期提交公司风险管理部。报告内容包括但不限于各项风险指标情况、做市业务规模等。</w:t>
      </w:r>
    </w:p>
    <w:p>
      <w:pPr>
        <w:spacing w:line="560" w:lineRule="exact"/>
        <w:ind w:firstLine="640"/>
        <w:rPr>
          <w:rFonts w:ascii="仿宋" w:hAnsi="仿宋" w:eastAsia="仿宋"/>
          <w:sz w:val="32"/>
        </w:rPr>
      </w:pPr>
      <w:r>
        <w:rPr>
          <w:rFonts w:hint="eastAsia" w:ascii="仿宋" w:hAnsi="仿宋" w:eastAsia="仿宋"/>
          <w:sz w:val="32"/>
        </w:rPr>
        <w:t>临时报告由做市业务部门及相关职能部门在期权做市业务开展过程中就出现的与做市业务有关的风险事件，包括业务差错、系统运作故障、突发性的紧急事件等，按照公司内部报告制度的要求向公司提交。</w:t>
      </w:r>
    </w:p>
    <w:p>
      <w:pPr>
        <w:pStyle w:val="4"/>
        <w:spacing w:before="0" w:line="560" w:lineRule="exact"/>
        <w:ind w:firstLine="640"/>
        <w:rPr>
          <w:rFonts w:ascii="黑体" w:hAnsi="黑体" w:eastAsia="黑体"/>
          <w:b w:val="0"/>
          <w:sz w:val="32"/>
        </w:rPr>
      </w:pPr>
      <w:bookmarkStart w:id="104" w:name="_Toc3226"/>
      <w:bookmarkStart w:id="105" w:name="_Toc25884"/>
      <w:bookmarkStart w:id="106" w:name="_Toc67332321"/>
      <w:r>
        <w:rPr>
          <w:rFonts w:hint="eastAsia" w:ascii="黑体" w:hAnsi="黑体" w:eastAsia="黑体"/>
          <w:b w:val="0"/>
          <w:sz w:val="32"/>
        </w:rPr>
        <w:t>二、公司层面风险管理机制</w:t>
      </w:r>
      <w:bookmarkEnd w:id="104"/>
      <w:bookmarkEnd w:id="105"/>
      <w:bookmarkEnd w:id="106"/>
    </w:p>
    <w:p>
      <w:pPr>
        <w:pStyle w:val="5"/>
        <w:spacing w:line="560" w:lineRule="exact"/>
        <w:ind w:firstLine="640"/>
        <w:rPr>
          <w:rFonts w:ascii="仿宋" w:hAnsi="仿宋" w:eastAsia="仿宋"/>
          <w:sz w:val="32"/>
        </w:rPr>
      </w:pPr>
      <w:r>
        <w:rPr>
          <w:rFonts w:hint="eastAsia" w:ascii="仿宋" w:hAnsi="仿宋" w:eastAsia="仿宋"/>
          <w:sz w:val="32"/>
        </w:rPr>
        <w:t>（一）风险管理制度</w:t>
      </w:r>
    </w:p>
    <w:p>
      <w:pPr>
        <w:spacing w:line="560" w:lineRule="exact"/>
        <w:ind w:firstLine="640"/>
        <w:rPr>
          <w:rFonts w:ascii="仿宋" w:hAnsi="仿宋" w:eastAsia="仿宋"/>
          <w:sz w:val="32"/>
        </w:rPr>
      </w:pPr>
      <w:r>
        <w:rPr>
          <w:rFonts w:hint="eastAsia" w:ascii="仿宋" w:hAnsi="仿宋" w:eastAsia="仿宋"/>
          <w:sz w:val="32"/>
        </w:rPr>
        <w:t>做市商需在公司层面制定做市业务风险管理制度和流程，建立风险限额授权、风险监控、定期压力测试、风险报告等机制。</w:t>
      </w:r>
    </w:p>
    <w:p>
      <w:pPr>
        <w:pStyle w:val="5"/>
        <w:spacing w:line="560" w:lineRule="exact"/>
        <w:ind w:firstLine="640"/>
        <w:rPr>
          <w:rFonts w:ascii="仿宋" w:hAnsi="仿宋" w:eastAsia="仿宋"/>
          <w:sz w:val="32"/>
        </w:rPr>
      </w:pPr>
      <w:r>
        <w:rPr>
          <w:rFonts w:hint="eastAsia" w:ascii="仿宋" w:hAnsi="仿宋" w:eastAsia="仿宋"/>
          <w:sz w:val="32"/>
        </w:rPr>
        <w:t>（二）风险限额授权制度</w:t>
      </w:r>
    </w:p>
    <w:p>
      <w:pPr>
        <w:spacing w:line="560" w:lineRule="exact"/>
        <w:ind w:firstLine="640"/>
        <w:rPr>
          <w:rFonts w:ascii="仿宋" w:hAnsi="仿宋" w:eastAsia="仿宋"/>
          <w:sz w:val="32"/>
        </w:rPr>
      </w:pPr>
      <w:r>
        <w:rPr>
          <w:rFonts w:hint="eastAsia" w:ascii="仿宋" w:hAnsi="仿宋" w:eastAsia="仿宋"/>
          <w:sz w:val="32"/>
        </w:rPr>
        <w:t>做市商需根据业务发展状况、资金状况以及风险控制水平等因素对做市业务进行风险限额授权，授权内容包括单边持仓张数限额、组合</w:t>
      </w:r>
      <w:r>
        <w:rPr>
          <w:rFonts w:ascii="仿宋" w:hAnsi="仿宋" w:eastAsia="仿宋"/>
          <w:sz w:val="32"/>
        </w:rPr>
        <w:t>Delta</w:t>
      </w:r>
      <w:r>
        <w:rPr>
          <w:rFonts w:hint="eastAsia" w:ascii="仿宋" w:hAnsi="仿宋" w:eastAsia="仿宋"/>
          <w:sz w:val="32"/>
        </w:rPr>
        <w:t>暴露限额、组合</w:t>
      </w:r>
      <w:r>
        <w:rPr>
          <w:rFonts w:ascii="仿宋" w:hAnsi="仿宋" w:eastAsia="仿宋"/>
          <w:sz w:val="32"/>
        </w:rPr>
        <w:t>Vega</w:t>
      </w:r>
      <w:r>
        <w:rPr>
          <w:rFonts w:hint="eastAsia" w:ascii="仿宋" w:hAnsi="仿宋" w:eastAsia="仿宋"/>
          <w:sz w:val="32"/>
        </w:rPr>
        <w:t>暴露限额、组合</w:t>
      </w:r>
      <w:r>
        <w:rPr>
          <w:rFonts w:ascii="仿宋" w:hAnsi="仿宋" w:eastAsia="仿宋"/>
          <w:sz w:val="32"/>
        </w:rPr>
        <w:t>Gamma</w:t>
      </w:r>
      <w:r>
        <w:rPr>
          <w:rFonts w:hint="eastAsia" w:ascii="仿宋" w:hAnsi="仿宋" w:eastAsia="仿宋"/>
          <w:sz w:val="32"/>
        </w:rPr>
        <w:t>暴露限额、组合</w:t>
      </w:r>
      <w:r>
        <w:rPr>
          <w:rFonts w:ascii="仿宋" w:hAnsi="仿宋" w:eastAsia="仿宋"/>
          <w:sz w:val="32"/>
        </w:rPr>
        <w:t>Theta</w:t>
      </w:r>
      <w:r>
        <w:rPr>
          <w:rFonts w:hint="eastAsia" w:ascii="仿宋" w:hAnsi="仿宋" w:eastAsia="仿宋"/>
          <w:sz w:val="32"/>
        </w:rPr>
        <w:t>暴露限额、组合止损限额、</w:t>
      </w:r>
      <w:r>
        <w:rPr>
          <w:rFonts w:ascii="仿宋" w:hAnsi="仿宋" w:eastAsia="仿宋"/>
          <w:sz w:val="32"/>
        </w:rPr>
        <w:t>VaR</w:t>
      </w:r>
      <w:r>
        <w:rPr>
          <w:rFonts w:hint="eastAsia" w:ascii="仿宋" w:hAnsi="仿宋" w:eastAsia="仿宋"/>
          <w:sz w:val="32"/>
        </w:rPr>
        <w:t>限额等内容。</w:t>
      </w:r>
    </w:p>
    <w:p>
      <w:pPr>
        <w:pStyle w:val="5"/>
        <w:spacing w:line="560" w:lineRule="exact"/>
        <w:ind w:firstLine="640"/>
        <w:rPr>
          <w:rFonts w:ascii="仿宋" w:hAnsi="仿宋" w:eastAsia="仿宋"/>
          <w:sz w:val="32"/>
        </w:rPr>
      </w:pPr>
      <w:r>
        <w:rPr>
          <w:rFonts w:hint="eastAsia" w:ascii="仿宋" w:hAnsi="仿宋" w:eastAsia="仿宋"/>
          <w:sz w:val="32"/>
        </w:rPr>
        <w:t>（三）风险监控</w:t>
      </w:r>
    </w:p>
    <w:p>
      <w:pPr>
        <w:spacing w:line="560" w:lineRule="exact"/>
        <w:ind w:firstLine="640"/>
        <w:rPr>
          <w:rFonts w:ascii="仿宋" w:hAnsi="仿宋" w:eastAsia="仿宋"/>
          <w:sz w:val="32"/>
        </w:rPr>
      </w:pPr>
      <w:r>
        <w:rPr>
          <w:rFonts w:hint="eastAsia" w:ascii="仿宋" w:hAnsi="仿宋" w:eastAsia="仿宋"/>
          <w:sz w:val="32"/>
        </w:rPr>
        <w:t>做市商需在公司层面设立做市业务风险监控系统，该风险监控系统与做市业务部门的风控系统保持独立，并采用单独的模型进行风险指标监控。做市商针对期权业务每日实施独立监控，包括但不限于对持仓、资金、希腊字母、极端情况、强平处理等风险指标监控和预警，并制作风险监控日报。对于在监控中发现的超限、违规或者其他需关注的情况做出书面记录，及时处理，如有必要的应向做市部门发出风险提示书，限期整改并持续跟踪。</w:t>
      </w:r>
    </w:p>
    <w:p>
      <w:pPr>
        <w:pStyle w:val="5"/>
        <w:spacing w:line="560" w:lineRule="exact"/>
        <w:ind w:firstLine="640"/>
        <w:rPr>
          <w:rFonts w:ascii="仿宋" w:hAnsi="仿宋" w:eastAsia="仿宋"/>
          <w:sz w:val="32"/>
        </w:rPr>
      </w:pPr>
      <w:r>
        <w:rPr>
          <w:rFonts w:hint="eastAsia" w:ascii="仿宋" w:hAnsi="仿宋" w:eastAsia="仿宋"/>
          <w:sz w:val="32"/>
        </w:rPr>
        <w:t>（四）压力测试</w:t>
      </w:r>
    </w:p>
    <w:p>
      <w:pPr>
        <w:spacing w:line="560" w:lineRule="exact"/>
        <w:ind w:firstLine="640"/>
        <w:rPr>
          <w:rFonts w:ascii="仿宋" w:hAnsi="仿宋" w:eastAsia="仿宋"/>
          <w:sz w:val="32"/>
        </w:rPr>
      </w:pPr>
      <w:r>
        <w:rPr>
          <w:rFonts w:hint="eastAsia" w:ascii="仿宋" w:hAnsi="仿宋" w:eastAsia="仿宋"/>
          <w:sz w:val="32"/>
        </w:rPr>
        <w:t>做市商需在公司层面对期权做市业务开展压力测试，以度量极端不利市场环境（即压力情景）下公司可能遭受的潜在的保证金风险和损失风险，并将其结果运用于公司净资本的计算和资本充足率的考量，确保在压力情景下风险可测、可控、可承受，保障公司可持续经营。做市商需按季度向本所提交做市业务压力测试报告。</w:t>
      </w:r>
    </w:p>
    <w:p>
      <w:pPr>
        <w:pStyle w:val="5"/>
        <w:spacing w:line="560" w:lineRule="exact"/>
        <w:ind w:firstLine="640"/>
        <w:rPr>
          <w:rFonts w:ascii="仿宋" w:hAnsi="仿宋" w:eastAsia="仿宋"/>
          <w:sz w:val="32"/>
        </w:rPr>
      </w:pPr>
      <w:r>
        <w:rPr>
          <w:rFonts w:hint="eastAsia" w:ascii="仿宋" w:hAnsi="仿宋" w:eastAsia="仿宋"/>
          <w:sz w:val="32"/>
        </w:rPr>
        <w:t>（五）风险报告</w:t>
      </w:r>
    </w:p>
    <w:p>
      <w:pPr>
        <w:spacing w:line="560" w:lineRule="exact"/>
        <w:ind w:firstLine="640"/>
        <w:rPr>
          <w:rFonts w:ascii="仿宋" w:hAnsi="仿宋"/>
          <w:sz w:val="32"/>
        </w:rPr>
      </w:pPr>
      <w:r>
        <w:rPr>
          <w:rFonts w:hint="eastAsia" w:ascii="仿宋" w:hAnsi="仿宋" w:eastAsia="仿宋"/>
          <w:sz w:val="32"/>
        </w:rPr>
        <w:t>做市商需按照监管部门和本所相关要求，提交做市业务相关报告。</w:t>
      </w:r>
    </w:p>
    <w:p>
      <w:pPr>
        <w:spacing w:line="560" w:lineRule="exact"/>
        <w:ind w:firstLine="640"/>
        <w:rPr>
          <w:rFonts w:ascii="仿宋" w:hAnsi="仿宋"/>
          <w:sz w:val="32"/>
        </w:rPr>
      </w:pPr>
      <w:r>
        <w:rPr>
          <w:rFonts w:ascii="仿宋" w:hAnsi="仿宋"/>
          <w:sz w:val="32"/>
        </w:rPr>
        <w:br w:type="page"/>
      </w:r>
    </w:p>
    <w:p>
      <w:pPr>
        <w:pStyle w:val="3"/>
        <w:spacing w:before="204" w:beforeLines="50" w:after="204" w:afterLines="50" w:line="560" w:lineRule="exact"/>
        <w:ind w:firstLine="0" w:firstLineChars="0"/>
        <w:jc w:val="center"/>
        <w:outlineLvl w:val="0"/>
        <w:rPr>
          <w:rFonts w:ascii="黑体" w:hAnsi="黑体" w:eastAsia="黑体"/>
          <w:bCs/>
          <w:sz w:val="32"/>
        </w:rPr>
      </w:pPr>
      <w:bookmarkStart w:id="107" w:name="_Toc26373"/>
      <w:bookmarkStart w:id="108" w:name="_Toc19495"/>
      <w:bookmarkStart w:id="109" w:name="_Toc67332322"/>
      <w:r>
        <w:rPr>
          <w:rFonts w:hint="eastAsia" w:ascii="黑体" w:hAnsi="黑体" w:eastAsia="黑体"/>
          <w:bCs/>
          <w:sz w:val="32"/>
        </w:rPr>
        <w:t>第七章</w:t>
      </w:r>
      <w:r>
        <w:rPr>
          <w:rFonts w:ascii="黑体" w:hAnsi="黑体" w:eastAsia="黑体"/>
          <w:bCs/>
          <w:sz w:val="32"/>
        </w:rPr>
        <w:t xml:space="preserve"> </w:t>
      </w:r>
      <w:r>
        <w:rPr>
          <w:rFonts w:hint="eastAsia" w:ascii="黑体" w:hAnsi="黑体" w:eastAsia="黑体"/>
          <w:bCs/>
          <w:sz w:val="32"/>
        </w:rPr>
        <w:t>合规和内部控制</w:t>
      </w:r>
      <w:bookmarkEnd w:id="107"/>
      <w:bookmarkEnd w:id="108"/>
      <w:bookmarkEnd w:id="109"/>
    </w:p>
    <w:p>
      <w:pPr>
        <w:spacing w:line="560" w:lineRule="exact"/>
        <w:ind w:firstLine="640"/>
        <w:rPr>
          <w:rFonts w:ascii="仿宋" w:hAnsi="仿宋" w:eastAsia="仿宋"/>
          <w:sz w:val="32"/>
        </w:rPr>
      </w:pPr>
      <w:r>
        <w:rPr>
          <w:rFonts w:hint="eastAsia" w:ascii="仿宋" w:hAnsi="仿宋" w:eastAsia="仿宋"/>
          <w:sz w:val="32"/>
        </w:rPr>
        <w:t>做市商应建立健全内部控制制度和隔离墙管理机制，依法合规开展做市业务。</w:t>
      </w:r>
    </w:p>
    <w:p>
      <w:pPr>
        <w:pStyle w:val="4"/>
        <w:spacing w:before="0" w:line="560" w:lineRule="exact"/>
        <w:ind w:firstLine="640"/>
        <w:rPr>
          <w:rFonts w:ascii="黑体" w:hAnsi="黑体" w:eastAsia="黑体"/>
          <w:b w:val="0"/>
          <w:sz w:val="32"/>
        </w:rPr>
      </w:pPr>
      <w:bookmarkStart w:id="110" w:name="_Toc26430"/>
      <w:bookmarkStart w:id="111" w:name="_Toc24115"/>
      <w:bookmarkStart w:id="112" w:name="_Toc67332323"/>
      <w:r>
        <w:rPr>
          <w:rFonts w:hint="eastAsia" w:ascii="黑体" w:hAnsi="黑体" w:eastAsia="黑体"/>
          <w:b w:val="0"/>
          <w:sz w:val="32"/>
        </w:rPr>
        <w:t>一、内部控制制度</w:t>
      </w:r>
      <w:bookmarkEnd w:id="110"/>
      <w:bookmarkEnd w:id="111"/>
      <w:bookmarkEnd w:id="112"/>
    </w:p>
    <w:p>
      <w:pPr>
        <w:spacing w:line="560" w:lineRule="exact"/>
        <w:ind w:firstLine="640"/>
        <w:rPr>
          <w:rFonts w:ascii="仿宋" w:hAnsi="仿宋" w:eastAsia="仿宋"/>
          <w:sz w:val="32"/>
        </w:rPr>
      </w:pPr>
      <w:r>
        <w:rPr>
          <w:rFonts w:hint="eastAsia" w:ascii="仿宋" w:hAnsi="仿宋" w:eastAsia="仿宋"/>
          <w:sz w:val="32"/>
        </w:rPr>
        <w:t>做市商应建立严格的内部控制制度，对做市业务制定严格的授权管理制度和投资决策流程，建立有效的岗位分工和制衡机制，规范业务操作流程，确保研究分析、投资决策、交易执行等相关环节的独立运作。</w:t>
      </w:r>
    </w:p>
    <w:p>
      <w:pPr>
        <w:pStyle w:val="4"/>
        <w:spacing w:before="0" w:line="560" w:lineRule="exact"/>
        <w:ind w:firstLine="640"/>
        <w:rPr>
          <w:rFonts w:ascii="黑体" w:hAnsi="黑体" w:eastAsia="黑体"/>
          <w:b w:val="0"/>
          <w:sz w:val="32"/>
        </w:rPr>
      </w:pPr>
      <w:bookmarkStart w:id="113" w:name="_Toc32164"/>
      <w:bookmarkStart w:id="114" w:name="_Toc14885"/>
      <w:bookmarkStart w:id="115" w:name="_Toc67332324"/>
      <w:r>
        <w:rPr>
          <w:rFonts w:hint="eastAsia" w:ascii="黑体" w:hAnsi="黑体" w:eastAsia="黑体"/>
          <w:b w:val="0"/>
          <w:sz w:val="32"/>
        </w:rPr>
        <w:t>二、业务隔离制度</w:t>
      </w:r>
      <w:bookmarkEnd w:id="113"/>
      <w:bookmarkEnd w:id="114"/>
      <w:bookmarkEnd w:id="115"/>
    </w:p>
    <w:p>
      <w:pPr>
        <w:spacing w:line="560" w:lineRule="exact"/>
        <w:ind w:firstLine="640"/>
        <w:rPr>
          <w:rFonts w:ascii="仿宋" w:hAnsi="仿宋" w:eastAsia="仿宋"/>
          <w:sz w:val="32"/>
        </w:rPr>
      </w:pPr>
      <w:r>
        <w:rPr>
          <w:rFonts w:hint="eastAsia" w:ascii="仿宋" w:hAnsi="仿宋" w:eastAsia="仿宋"/>
          <w:sz w:val="32"/>
        </w:rPr>
        <w:t>做市商应建立风险防范与业务隔离制度，将做市业务与可能形成利益冲突或利益密切相关的自营、经纪、资产管理、投资咨询等业务在账户、资金、人员、办公场所等方面进行分开管理，有效隔离，包括：</w:t>
      </w:r>
    </w:p>
    <w:p>
      <w:pPr>
        <w:spacing w:line="560" w:lineRule="exact"/>
        <w:ind w:firstLine="640"/>
        <w:rPr>
          <w:rFonts w:ascii="仿宋" w:hAnsi="仿宋" w:eastAsia="仿宋"/>
          <w:sz w:val="32"/>
        </w:rPr>
      </w:pPr>
      <w:r>
        <w:rPr>
          <w:rFonts w:hint="eastAsia" w:ascii="仿宋" w:hAnsi="仿宋" w:eastAsia="仿宋"/>
          <w:sz w:val="32"/>
        </w:rPr>
        <w:t>（一）使用指定的衍生品合约账户和对应证券账户开展做市业务；</w:t>
      </w:r>
    </w:p>
    <w:p>
      <w:pPr>
        <w:spacing w:line="560" w:lineRule="exact"/>
        <w:ind w:firstLine="640"/>
        <w:rPr>
          <w:rFonts w:ascii="仿宋" w:hAnsi="仿宋" w:eastAsia="仿宋"/>
          <w:sz w:val="32"/>
        </w:rPr>
      </w:pPr>
      <w:r>
        <w:rPr>
          <w:rFonts w:hint="eastAsia" w:ascii="仿宋" w:hAnsi="仿宋" w:eastAsia="仿宋"/>
          <w:sz w:val="32"/>
        </w:rPr>
        <w:t>（二）做市业务资金与自营业务资金、客户资金严格分离，独立运作；</w:t>
      </w:r>
    </w:p>
    <w:p>
      <w:pPr>
        <w:spacing w:line="560" w:lineRule="exact"/>
        <w:ind w:firstLine="640"/>
        <w:rPr>
          <w:rFonts w:ascii="仿宋" w:hAnsi="仿宋" w:eastAsia="仿宋"/>
          <w:sz w:val="32"/>
        </w:rPr>
      </w:pPr>
      <w:r>
        <w:rPr>
          <w:rFonts w:hint="eastAsia" w:ascii="仿宋" w:hAnsi="仿宋" w:eastAsia="仿宋"/>
          <w:sz w:val="32"/>
        </w:rPr>
        <w:t>（三）做市业务部门的交易岗应专人专职，建议风控岗不在自营等其他期权业务线中兼任职务或承担工作；</w:t>
      </w:r>
    </w:p>
    <w:p>
      <w:pPr>
        <w:spacing w:line="560" w:lineRule="exact"/>
        <w:ind w:firstLine="640"/>
        <w:rPr>
          <w:rFonts w:ascii="仿宋" w:hAnsi="仿宋" w:eastAsia="仿宋"/>
          <w:sz w:val="32"/>
        </w:rPr>
      </w:pPr>
      <w:r>
        <w:rPr>
          <w:rFonts w:hint="eastAsia" w:ascii="仿宋" w:hAnsi="仿宋" w:eastAsia="仿宋"/>
          <w:sz w:val="32"/>
        </w:rPr>
        <w:t>（四）做市业务办公场所与其他业务办公场所应有效隔离，建议进行物理隔离、实行门禁制度；做市业务与自营、经纪、资产管理、投资咨询等部门的业务交流，建议在会议室进行，并做好相应留痕工作；</w:t>
      </w:r>
    </w:p>
    <w:p>
      <w:pPr>
        <w:spacing w:line="560" w:lineRule="exact"/>
        <w:ind w:firstLine="640"/>
        <w:rPr>
          <w:rFonts w:ascii="仿宋" w:hAnsi="仿宋" w:eastAsia="仿宋"/>
          <w:sz w:val="32"/>
        </w:rPr>
      </w:pPr>
      <w:r>
        <w:rPr>
          <w:rFonts w:hint="eastAsia" w:ascii="仿宋" w:hAnsi="仿宋" w:eastAsia="仿宋"/>
          <w:sz w:val="32"/>
        </w:rPr>
        <w:t>（五）做好跨墙人员管理。需处于信息隔离墙另一侧的部门派员跨墙协作的，应事先向合规部门申请。跨墙人员在跨墙期间不应泄漏或不当使用跨墙后知悉的未公开信息，不应获取与跨墙业务无关的未公开信息。</w:t>
      </w:r>
    </w:p>
    <w:p>
      <w:pPr>
        <w:pStyle w:val="4"/>
        <w:spacing w:before="0" w:line="560" w:lineRule="exact"/>
        <w:ind w:firstLine="640"/>
        <w:rPr>
          <w:rFonts w:ascii="黑体" w:hAnsi="黑体" w:eastAsia="黑体"/>
          <w:b w:val="0"/>
          <w:sz w:val="32"/>
        </w:rPr>
      </w:pPr>
      <w:bookmarkStart w:id="116" w:name="_Toc14963"/>
      <w:bookmarkStart w:id="117" w:name="_Toc67332325"/>
      <w:bookmarkStart w:id="118" w:name="_Toc9084"/>
      <w:r>
        <w:rPr>
          <w:rFonts w:hint="eastAsia" w:ascii="黑体" w:hAnsi="黑体" w:eastAsia="黑体"/>
          <w:b w:val="0"/>
          <w:sz w:val="32"/>
        </w:rPr>
        <w:t>三、禁止行为</w:t>
      </w:r>
      <w:bookmarkEnd w:id="116"/>
      <w:bookmarkEnd w:id="117"/>
      <w:bookmarkEnd w:id="118"/>
    </w:p>
    <w:p>
      <w:pPr>
        <w:spacing w:line="560" w:lineRule="exact"/>
        <w:ind w:firstLine="640"/>
        <w:rPr>
          <w:rFonts w:ascii="仿宋" w:hAnsi="仿宋" w:eastAsia="仿宋"/>
          <w:sz w:val="32"/>
        </w:rPr>
      </w:pPr>
      <w:r>
        <w:rPr>
          <w:rFonts w:hint="eastAsia" w:ascii="仿宋" w:hAnsi="仿宋" w:eastAsia="仿宋"/>
          <w:sz w:val="32"/>
        </w:rPr>
        <w:t>做市商及其做市业务人员不得从事下列行为：</w:t>
      </w:r>
    </w:p>
    <w:p>
      <w:pPr>
        <w:spacing w:line="560" w:lineRule="exact"/>
        <w:ind w:firstLine="640"/>
        <w:rPr>
          <w:rFonts w:ascii="仿宋" w:hAnsi="仿宋" w:eastAsia="仿宋"/>
          <w:sz w:val="32"/>
        </w:rPr>
      </w:pPr>
      <w:r>
        <w:rPr>
          <w:rFonts w:hint="eastAsia" w:ascii="仿宋" w:hAnsi="仿宋" w:eastAsia="仿宋"/>
          <w:sz w:val="32"/>
        </w:rPr>
        <w:t>（一）利用内幕信息进行投资决策和交易；</w:t>
      </w:r>
    </w:p>
    <w:p>
      <w:pPr>
        <w:spacing w:line="560" w:lineRule="exact"/>
        <w:ind w:firstLine="640"/>
        <w:rPr>
          <w:rFonts w:ascii="仿宋" w:hAnsi="仿宋" w:eastAsia="仿宋"/>
          <w:sz w:val="32"/>
        </w:rPr>
      </w:pPr>
      <w:r>
        <w:rPr>
          <w:rFonts w:hint="eastAsia" w:ascii="仿宋" w:hAnsi="仿宋" w:eastAsia="仿宋"/>
          <w:sz w:val="32"/>
        </w:rPr>
        <w:t>（二）利用信息优势和资金优势，单独或者通过合谋（包括与自营的合谋），制造异常价格波动；</w:t>
      </w:r>
    </w:p>
    <w:p>
      <w:pPr>
        <w:spacing w:line="560" w:lineRule="exact"/>
        <w:ind w:firstLine="640"/>
        <w:rPr>
          <w:rFonts w:ascii="仿宋" w:hAnsi="仿宋" w:eastAsia="仿宋"/>
          <w:sz w:val="32"/>
        </w:rPr>
      </w:pPr>
      <w:r>
        <w:rPr>
          <w:rFonts w:hint="eastAsia" w:ascii="仿宋" w:hAnsi="仿宋" w:eastAsia="仿宋"/>
          <w:sz w:val="32"/>
        </w:rPr>
        <w:t>（三）以不正当方式影响其他做市商做市；</w:t>
      </w:r>
    </w:p>
    <w:p>
      <w:pPr>
        <w:spacing w:line="560" w:lineRule="exact"/>
        <w:ind w:firstLine="640"/>
        <w:rPr>
          <w:rFonts w:ascii="仿宋" w:hAnsi="仿宋" w:eastAsia="仿宋"/>
          <w:sz w:val="32"/>
        </w:rPr>
      </w:pPr>
      <w:r>
        <w:rPr>
          <w:rFonts w:hint="eastAsia" w:ascii="仿宋" w:hAnsi="仿宋" w:eastAsia="仿宋"/>
          <w:sz w:val="32"/>
        </w:rPr>
        <w:t>（四）与其他做市商通过串通报价或私下交换做市策略等信息谋取不正当利益；</w:t>
      </w:r>
    </w:p>
    <w:p>
      <w:pPr>
        <w:spacing w:line="560" w:lineRule="exact"/>
        <w:ind w:firstLine="640"/>
        <w:rPr>
          <w:rFonts w:ascii="仿宋" w:hAnsi="仿宋" w:eastAsia="仿宋"/>
          <w:sz w:val="32"/>
        </w:rPr>
      </w:pPr>
      <w:r>
        <w:rPr>
          <w:rFonts w:hint="eastAsia" w:ascii="仿宋" w:hAnsi="仿宋" w:eastAsia="仿宋"/>
          <w:sz w:val="32"/>
        </w:rPr>
        <w:t>（五）做市业务人员通过做市向自身或利益相关者进行利益输送；</w:t>
      </w:r>
    </w:p>
    <w:p>
      <w:pPr>
        <w:spacing w:line="560" w:lineRule="exact"/>
        <w:ind w:firstLine="640"/>
        <w:rPr>
          <w:rFonts w:ascii="仿宋" w:hAnsi="仿宋"/>
          <w:sz w:val="32"/>
        </w:rPr>
      </w:pPr>
      <w:r>
        <w:rPr>
          <w:rFonts w:hint="eastAsia" w:ascii="仿宋" w:hAnsi="仿宋" w:eastAsia="仿宋"/>
          <w:sz w:val="32"/>
        </w:rPr>
        <w:t>（六）其他操纵或干扰期权市场或合约标的市场等违法违规行为。</w:t>
      </w:r>
    </w:p>
    <w:p>
      <w:pPr>
        <w:spacing w:line="560" w:lineRule="exact"/>
        <w:ind w:firstLine="640"/>
        <w:rPr>
          <w:rFonts w:ascii="仿宋" w:hAnsi="仿宋"/>
          <w:sz w:val="32"/>
        </w:rPr>
      </w:pPr>
      <w:r>
        <w:rPr>
          <w:rFonts w:ascii="仿宋" w:hAnsi="仿宋"/>
          <w:sz w:val="32"/>
        </w:rPr>
        <w:br w:type="page"/>
      </w:r>
    </w:p>
    <w:p>
      <w:pPr>
        <w:pStyle w:val="3"/>
        <w:spacing w:before="204" w:beforeLines="50" w:after="204" w:afterLines="50" w:line="560" w:lineRule="exact"/>
        <w:ind w:firstLine="0" w:firstLineChars="0"/>
        <w:jc w:val="center"/>
        <w:outlineLvl w:val="0"/>
        <w:rPr>
          <w:rFonts w:ascii="黑体" w:hAnsi="黑体" w:eastAsia="黑体"/>
          <w:bCs/>
          <w:sz w:val="32"/>
        </w:rPr>
      </w:pPr>
      <w:bookmarkStart w:id="119" w:name="_Toc67332326"/>
      <w:bookmarkStart w:id="120" w:name="_Toc5534"/>
      <w:bookmarkStart w:id="121" w:name="_Toc29809"/>
      <w:r>
        <w:rPr>
          <w:rFonts w:hint="eastAsia" w:ascii="黑体" w:hAnsi="黑体" w:eastAsia="黑体"/>
          <w:bCs/>
          <w:sz w:val="32"/>
        </w:rPr>
        <w:t>第八章</w:t>
      </w:r>
      <w:r>
        <w:rPr>
          <w:rFonts w:ascii="黑体" w:hAnsi="黑体" w:eastAsia="黑体"/>
          <w:bCs/>
          <w:sz w:val="32"/>
        </w:rPr>
        <w:t xml:space="preserve"> </w:t>
      </w:r>
      <w:r>
        <w:rPr>
          <w:rFonts w:hint="eastAsia" w:ascii="黑体" w:hAnsi="黑体" w:eastAsia="黑体"/>
          <w:bCs/>
          <w:sz w:val="32"/>
        </w:rPr>
        <w:t>技术系统</w:t>
      </w:r>
      <w:bookmarkEnd w:id="119"/>
      <w:bookmarkEnd w:id="120"/>
      <w:bookmarkEnd w:id="121"/>
    </w:p>
    <w:p>
      <w:pPr>
        <w:pStyle w:val="4"/>
        <w:spacing w:before="0" w:line="560" w:lineRule="exact"/>
        <w:ind w:firstLine="640"/>
        <w:rPr>
          <w:rFonts w:ascii="黑体" w:hAnsi="黑体" w:eastAsia="黑体"/>
          <w:b w:val="0"/>
          <w:sz w:val="32"/>
        </w:rPr>
      </w:pPr>
      <w:bookmarkStart w:id="122" w:name="_Toc947"/>
      <w:bookmarkStart w:id="123" w:name="_Toc67332327"/>
      <w:bookmarkStart w:id="124" w:name="_Toc25572"/>
      <w:r>
        <w:rPr>
          <w:rFonts w:hint="eastAsia" w:ascii="黑体" w:hAnsi="黑体" w:eastAsia="黑体"/>
          <w:b w:val="0"/>
          <w:sz w:val="32"/>
        </w:rPr>
        <w:t>一、建设原则</w:t>
      </w:r>
      <w:bookmarkEnd w:id="122"/>
      <w:bookmarkEnd w:id="123"/>
      <w:bookmarkEnd w:id="124"/>
    </w:p>
    <w:p>
      <w:pPr>
        <w:spacing w:line="560" w:lineRule="exact"/>
        <w:ind w:firstLine="640"/>
        <w:rPr>
          <w:rFonts w:ascii="仿宋" w:hAnsi="仿宋" w:eastAsia="仿宋"/>
          <w:sz w:val="32"/>
        </w:rPr>
      </w:pPr>
      <w:r>
        <w:rPr>
          <w:rFonts w:hint="eastAsia" w:ascii="仿宋" w:hAnsi="仿宋" w:eastAsia="仿宋"/>
          <w:sz w:val="32"/>
        </w:rPr>
        <w:t>做市商在系统建设过程中应满足业务隔离、控制风险、统一规划以及高可用性原则。</w:t>
      </w:r>
    </w:p>
    <w:p>
      <w:pPr>
        <w:spacing w:line="560" w:lineRule="exact"/>
        <w:ind w:firstLine="640"/>
        <w:rPr>
          <w:rFonts w:ascii="仿宋" w:hAnsi="仿宋" w:eastAsia="仿宋"/>
          <w:sz w:val="32"/>
        </w:rPr>
      </w:pPr>
      <w:r>
        <w:rPr>
          <w:rFonts w:hint="eastAsia" w:ascii="仿宋" w:hAnsi="仿宋" w:eastAsia="仿宋"/>
          <w:sz w:val="32"/>
        </w:rPr>
        <w:t>做市系统与期权经纪业务系统、自营业务系统以及现货系统之间应独立部署，各业务系统之间相互隔离，不能交叉访问。各系统采用独立的权限管理，各业务岗位权限独立审批并定期审核。</w:t>
      </w:r>
    </w:p>
    <w:p>
      <w:pPr>
        <w:spacing w:line="560" w:lineRule="exact"/>
        <w:ind w:firstLine="640"/>
        <w:rPr>
          <w:rFonts w:ascii="仿宋" w:hAnsi="仿宋" w:eastAsia="仿宋"/>
          <w:sz w:val="32"/>
        </w:rPr>
      </w:pPr>
      <w:r>
        <w:rPr>
          <w:rFonts w:hint="eastAsia" w:ascii="仿宋" w:hAnsi="仿宋" w:eastAsia="仿宋"/>
          <w:sz w:val="32"/>
        </w:rPr>
        <w:t>做市系统在设计建设过程中应经过严格的评审和测试流程，在工程实施过程中制定详细的项目计划，充分考虑实施过程中的各风险点及应急措施。对系统上线后的日常运营管理制度、容灾备份策略及应急处理措施进行规范。</w:t>
      </w:r>
    </w:p>
    <w:p>
      <w:pPr>
        <w:spacing w:line="560" w:lineRule="exact"/>
        <w:ind w:firstLine="640"/>
        <w:rPr>
          <w:rFonts w:ascii="仿宋" w:hAnsi="仿宋" w:eastAsia="仿宋"/>
          <w:sz w:val="32"/>
        </w:rPr>
      </w:pPr>
      <w:r>
        <w:rPr>
          <w:rFonts w:hint="eastAsia" w:ascii="仿宋" w:hAnsi="仿宋" w:eastAsia="仿宋"/>
          <w:sz w:val="32"/>
        </w:rPr>
        <w:t>做市系统在建设过程中应根据业务需要与现存系统在业务及架构上进行统一规划，以满足当前及今后业务发展的需求。</w:t>
      </w:r>
    </w:p>
    <w:p>
      <w:pPr>
        <w:spacing w:line="560" w:lineRule="exact"/>
        <w:ind w:firstLine="640"/>
        <w:rPr>
          <w:rFonts w:ascii="仿宋" w:hAnsi="仿宋" w:eastAsia="仿宋"/>
          <w:sz w:val="32"/>
        </w:rPr>
      </w:pPr>
      <w:r>
        <w:rPr>
          <w:rFonts w:hint="eastAsia" w:ascii="仿宋" w:hAnsi="仿宋" w:eastAsia="仿宋"/>
          <w:sz w:val="32"/>
        </w:rPr>
        <w:t>做市业务时效性强，对系统连续、高效提供服务的能力要求非常高，做市系统在选型及建设过程中，需充分考虑系统的高可用性设计问题，从容错、容灾等多个方面保证系统设计的合理性。</w:t>
      </w:r>
    </w:p>
    <w:p>
      <w:pPr>
        <w:pStyle w:val="4"/>
        <w:spacing w:before="0" w:line="560" w:lineRule="exact"/>
        <w:ind w:firstLine="640"/>
        <w:rPr>
          <w:rFonts w:ascii="黑体" w:hAnsi="黑体" w:eastAsia="黑体"/>
          <w:b w:val="0"/>
          <w:sz w:val="32"/>
        </w:rPr>
      </w:pPr>
      <w:bookmarkStart w:id="125" w:name="_Toc12597"/>
      <w:bookmarkStart w:id="126" w:name="_Toc67332328"/>
      <w:bookmarkStart w:id="127" w:name="_Toc16178"/>
      <w:r>
        <w:rPr>
          <w:rFonts w:hint="eastAsia" w:ascii="黑体" w:hAnsi="黑体" w:eastAsia="黑体"/>
          <w:b w:val="0"/>
          <w:sz w:val="32"/>
        </w:rPr>
        <w:t>二、系统建设</w:t>
      </w:r>
      <w:bookmarkEnd w:id="125"/>
      <w:bookmarkEnd w:id="126"/>
      <w:bookmarkEnd w:id="127"/>
    </w:p>
    <w:p>
      <w:pPr>
        <w:spacing w:line="560" w:lineRule="exact"/>
        <w:ind w:firstLine="640"/>
        <w:rPr>
          <w:rFonts w:ascii="仿宋" w:hAnsi="仿宋" w:eastAsia="仿宋"/>
          <w:sz w:val="32"/>
        </w:rPr>
      </w:pPr>
      <w:r>
        <w:rPr>
          <w:rFonts w:hint="eastAsia" w:ascii="仿宋" w:hAnsi="仿宋" w:eastAsia="仿宋"/>
          <w:sz w:val="32"/>
        </w:rPr>
        <w:t>（一）交易所接入系统</w:t>
      </w:r>
    </w:p>
    <w:p>
      <w:pPr>
        <w:spacing w:line="560" w:lineRule="exact"/>
        <w:ind w:firstLine="640"/>
        <w:rPr>
          <w:rFonts w:ascii="仿宋" w:hAnsi="仿宋" w:eastAsia="仿宋"/>
          <w:sz w:val="32"/>
        </w:rPr>
      </w:pPr>
      <w:r>
        <w:rPr>
          <w:rFonts w:hint="eastAsia" w:ascii="仿宋" w:hAnsi="仿宋" w:eastAsia="仿宋"/>
          <w:sz w:val="32"/>
        </w:rPr>
        <w:t>本所接入软件包括</w:t>
      </w:r>
      <w:r>
        <w:rPr>
          <w:rFonts w:ascii="仿宋" w:hAnsi="仿宋" w:eastAsia="仿宋"/>
          <w:sz w:val="32"/>
        </w:rPr>
        <w:t>EzSR</w:t>
      </w:r>
      <w:r>
        <w:rPr>
          <w:rFonts w:hint="eastAsia" w:ascii="仿宋" w:hAnsi="仿宋" w:eastAsia="仿宋"/>
          <w:sz w:val="32"/>
        </w:rPr>
        <w:t>、</w:t>
      </w:r>
      <w:r>
        <w:rPr>
          <w:rFonts w:ascii="仿宋" w:hAnsi="仿宋" w:eastAsia="仿宋"/>
          <w:sz w:val="32"/>
        </w:rPr>
        <w:t>EzTrans</w:t>
      </w:r>
      <w:r>
        <w:rPr>
          <w:rFonts w:hint="eastAsia" w:ascii="仿宋" w:hAnsi="仿宋" w:eastAsia="仿宋"/>
          <w:sz w:val="32"/>
        </w:rPr>
        <w:t>、</w:t>
      </w:r>
      <w:r>
        <w:rPr>
          <w:rFonts w:ascii="仿宋" w:hAnsi="仿宋" w:eastAsia="仿宋"/>
          <w:sz w:val="32"/>
        </w:rPr>
        <w:t>EzSTEP</w:t>
      </w:r>
      <w:r>
        <w:rPr>
          <w:rFonts w:hint="eastAsia" w:ascii="仿宋" w:hAnsi="仿宋" w:eastAsia="仿宋"/>
          <w:sz w:val="32"/>
        </w:rPr>
        <w:t>，其功能和接入路径如下表所示：</w:t>
      </w:r>
    </w:p>
    <w:p>
      <w:pPr>
        <w:pStyle w:val="39"/>
        <w:spacing w:line="560" w:lineRule="exact"/>
        <w:jc w:val="center"/>
        <w:rPr>
          <w:rFonts w:ascii="仿宋" w:hAnsi="仿宋" w:eastAsia="仿宋_GB2312"/>
          <w:color w:val="auto"/>
          <w:sz w:val="28"/>
          <w:szCs w:val="28"/>
        </w:rPr>
      </w:pPr>
      <w:r>
        <w:rPr>
          <w:rFonts w:hint="eastAsia" w:ascii="仿宋" w:hAnsi="仿宋" w:eastAsia="仿宋_GB2312"/>
          <w:color w:val="auto"/>
          <w:sz w:val="28"/>
          <w:szCs w:val="28"/>
        </w:rPr>
        <w:t>表</w:t>
      </w:r>
      <w:r>
        <w:rPr>
          <w:rFonts w:hint="eastAsia" w:ascii="仿宋" w:hAnsi="仿宋" w:eastAsia="仿宋_GB2312" w:cs="Times New Roman"/>
          <w:color w:val="auto"/>
          <w:sz w:val="28"/>
          <w:szCs w:val="28"/>
        </w:rPr>
        <w:t>5</w:t>
      </w:r>
      <w:r>
        <w:rPr>
          <w:rFonts w:ascii="仿宋" w:hAnsi="仿宋" w:eastAsia="仿宋_GB2312" w:cs="Times New Roman"/>
          <w:color w:val="auto"/>
          <w:sz w:val="28"/>
          <w:szCs w:val="28"/>
        </w:rPr>
        <w:t xml:space="preserve"> </w:t>
      </w:r>
      <w:r>
        <w:rPr>
          <w:rFonts w:hint="eastAsia" w:ascii="仿宋" w:hAnsi="仿宋" w:eastAsia="仿宋_GB2312"/>
          <w:color w:val="auto"/>
          <w:sz w:val="28"/>
          <w:szCs w:val="28"/>
        </w:rPr>
        <w:t>接入软件信息表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500"/>
        <w:gridCol w:w="2184"/>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1" w:type="pct"/>
            <w:shd w:val="clear" w:color="auto" w:fill="auto"/>
            <w:noWrap/>
            <w:vAlign w:val="center"/>
          </w:tcPr>
          <w:p>
            <w:pPr>
              <w:ind w:firstLine="0" w:firstLineChars="0"/>
              <w:jc w:val="center"/>
              <w:rPr>
                <w:rFonts w:ascii="仿宋" w:hAnsi="仿宋" w:eastAsia="仿宋"/>
                <w:sz w:val="24"/>
                <w:szCs w:val="24"/>
              </w:rPr>
            </w:pPr>
            <w:r>
              <w:rPr>
                <w:rFonts w:hint="eastAsia" w:ascii="仿宋" w:hAnsi="仿宋" w:eastAsia="仿宋"/>
                <w:sz w:val="24"/>
                <w:szCs w:val="24"/>
              </w:rPr>
              <w:t>相关软件</w:t>
            </w:r>
          </w:p>
        </w:tc>
        <w:tc>
          <w:tcPr>
            <w:tcW w:w="849"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数据流</w:t>
            </w:r>
          </w:p>
        </w:tc>
        <w:tc>
          <w:tcPr>
            <w:tcW w:w="1236"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线路</w:t>
            </w:r>
          </w:p>
        </w:tc>
        <w:tc>
          <w:tcPr>
            <w:tcW w:w="2084"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1" w:type="pct"/>
            <w:shd w:val="clear" w:color="auto" w:fill="auto"/>
            <w:noWrap/>
            <w:vAlign w:val="center"/>
          </w:tcPr>
          <w:p>
            <w:pPr>
              <w:ind w:firstLine="0" w:firstLineChars="0"/>
              <w:jc w:val="center"/>
              <w:rPr>
                <w:rFonts w:ascii="仿宋" w:hAnsi="仿宋" w:eastAsia="仿宋"/>
                <w:sz w:val="24"/>
                <w:szCs w:val="24"/>
              </w:rPr>
            </w:pPr>
            <w:r>
              <w:rPr>
                <w:rFonts w:ascii="仿宋" w:hAnsi="仿宋" w:eastAsia="仿宋"/>
                <w:sz w:val="24"/>
                <w:szCs w:val="24"/>
              </w:rPr>
              <w:t>EzSTEP</w:t>
            </w:r>
          </w:p>
        </w:tc>
        <w:tc>
          <w:tcPr>
            <w:tcW w:w="849"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实时消息</w:t>
            </w:r>
          </w:p>
        </w:tc>
        <w:tc>
          <w:tcPr>
            <w:tcW w:w="1236"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双向地面</w:t>
            </w:r>
          </w:p>
        </w:tc>
        <w:tc>
          <w:tcPr>
            <w:tcW w:w="2084"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交易、非交易类申报和成交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1" w:type="pct"/>
            <w:shd w:val="clear" w:color="auto" w:fill="auto"/>
            <w:noWrap/>
            <w:vAlign w:val="center"/>
          </w:tcPr>
          <w:p>
            <w:pPr>
              <w:ind w:firstLine="0" w:firstLineChars="0"/>
              <w:jc w:val="center"/>
              <w:rPr>
                <w:rFonts w:ascii="仿宋" w:hAnsi="仿宋" w:eastAsia="仿宋"/>
                <w:sz w:val="24"/>
                <w:szCs w:val="24"/>
              </w:rPr>
            </w:pPr>
            <w:r>
              <w:rPr>
                <w:rFonts w:ascii="仿宋" w:hAnsi="仿宋" w:eastAsia="仿宋"/>
                <w:sz w:val="24"/>
                <w:szCs w:val="24"/>
              </w:rPr>
              <w:t>EzTrans</w:t>
            </w:r>
          </w:p>
        </w:tc>
        <w:tc>
          <w:tcPr>
            <w:tcW w:w="849"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文件</w:t>
            </w:r>
          </w:p>
        </w:tc>
        <w:tc>
          <w:tcPr>
            <w:tcW w:w="1236"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双向地面</w:t>
            </w:r>
          </w:p>
        </w:tc>
        <w:tc>
          <w:tcPr>
            <w:tcW w:w="2084"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期权基础信息，成交过户文件，期权持仓余额对账文件，期权收盘价格文件，期权市场参与者数据报送文件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31" w:type="pct"/>
            <w:shd w:val="clear" w:color="auto" w:fill="auto"/>
            <w:noWrap/>
            <w:vAlign w:val="center"/>
          </w:tcPr>
          <w:p>
            <w:pPr>
              <w:ind w:firstLine="0" w:firstLineChars="0"/>
              <w:jc w:val="center"/>
              <w:rPr>
                <w:rFonts w:ascii="仿宋" w:hAnsi="仿宋" w:eastAsia="仿宋"/>
                <w:sz w:val="24"/>
                <w:szCs w:val="24"/>
              </w:rPr>
            </w:pPr>
            <w:r>
              <w:rPr>
                <w:rFonts w:ascii="仿宋" w:hAnsi="仿宋" w:eastAsia="仿宋"/>
                <w:sz w:val="24"/>
                <w:szCs w:val="24"/>
              </w:rPr>
              <w:t>EzSR</w:t>
            </w:r>
          </w:p>
        </w:tc>
        <w:tc>
          <w:tcPr>
            <w:tcW w:w="849"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文件</w:t>
            </w:r>
          </w:p>
        </w:tc>
        <w:tc>
          <w:tcPr>
            <w:tcW w:w="1236"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高速地面广播网</w:t>
            </w:r>
          </w:p>
        </w:tc>
        <w:tc>
          <w:tcPr>
            <w:tcW w:w="2084" w:type="pct"/>
            <w:shd w:val="clear" w:color="auto" w:fill="auto"/>
            <w:vAlign w:val="center"/>
          </w:tcPr>
          <w:p>
            <w:pPr>
              <w:ind w:firstLine="0" w:firstLineChars="0"/>
              <w:jc w:val="center"/>
              <w:rPr>
                <w:rFonts w:ascii="仿宋" w:hAnsi="仿宋" w:eastAsia="仿宋"/>
                <w:sz w:val="24"/>
                <w:szCs w:val="24"/>
              </w:rPr>
            </w:pPr>
            <w:r>
              <w:rPr>
                <w:rFonts w:hint="eastAsia" w:ascii="仿宋" w:hAnsi="仿宋" w:eastAsia="仿宋"/>
                <w:sz w:val="24"/>
                <w:szCs w:val="24"/>
              </w:rPr>
              <w:t>期权行情文件</w:t>
            </w:r>
          </w:p>
        </w:tc>
      </w:tr>
    </w:tbl>
    <w:p>
      <w:pPr>
        <w:spacing w:line="560" w:lineRule="exact"/>
        <w:ind w:firstLine="640"/>
        <w:rPr>
          <w:rFonts w:ascii="仿宋" w:hAnsi="仿宋" w:eastAsia="仿宋"/>
          <w:sz w:val="32"/>
        </w:rPr>
      </w:pPr>
      <w:r>
        <w:rPr>
          <w:rFonts w:hint="eastAsia" w:ascii="仿宋" w:hAnsi="仿宋" w:eastAsia="仿宋"/>
          <w:sz w:val="32"/>
        </w:rPr>
        <w:t>其中，行情线路推荐带宽不低于</w:t>
      </w:r>
      <w:r>
        <w:rPr>
          <w:rFonts w:ascii="仿宋" w:hAnsi="仿宋" w:eastAsia="仿宋"/>
          <w:sz w:val="32"/>
        </w:rPr>
        <w:t>2M bps</w:t>
      </w:r>
      <w:r>
        <w:rPr>
          <w:rFonts w:hint="eastAsia" w:ascii="仿宋" w:hAnsi="仿宋" w:eastAsia="仿宋"/>
          <w:sz w:val="32"/>
        </w:rPr>
        <w:t>，报盘线路带宽各公司根据自身业务开展情况进行评估。</w:t>
      </w:r>
    </w:p>
    <w:p>
      <w:pPr>
        <w:spacing w:line="560" w:lineRule="exact"/>
        <w:ind w:firstLine="640"/>
        <w:rPr>
          <w:rFonts w:ascii="仿宋" w:hAnsi="仿宋" w:eastAsia="仿宋"/>
          <w:sz w:val="32"/>
        </w:rPr>
      </w:pPr>
      <w:r>
        <w:rPr>
          <w:rFonts w:hint="eastAsia" w:ascii="仿宋" w:hAnsi="仿宋" w:eastAsia="仿宋"/>
          <w:sz w:val="32"/>
        </w:rPr>
        <w:t>（二）做市系统功能</w:t>
      </w:r>
    </w:p>
    <w:p>
      <w:pPr>
        <w:spacing w:line="560" w:lineRule="exact"/>
        <w:ind w:firstLine="640"/>
        <w:rPr>
          <w:rFonts w:ascii="仿宋" w:hAnsi="仿宋" w:eastAsia="仿宋"/>
          <w:sz w:val="32"/>
        </w:rPr>
      </w:pPr>
      <w:r>
        <w:rPr>
          <w:rFonts w:hint="eastAsia" w:ascii="仿宋" w:hAnsi="仿宋" w:eastAsia="仿宋"/>
          <w:sz w:val="32"/>
        </w:rPr>
        <w:t>做市系统需实现的基本功能包括但不限于：行情揭示、账户管理、交易管理、保证金管理、风险控制、策略管理、清算、行权管理、库存管理、权限管理、统计报表等功能。</w:t>
      </w:r>
    </w:p>
    <w:p>
      <w:pPr>
        <w:spacing w:line="560" w:lineRule="exact"/>
        <w:ind w:firstLine="640"/>
        <w:rPr>
          <w:rFonts w:ascii="仿宋" w:hAnsi="仿宋" w:eastAsia="仿宋"/>
          <w:sz w:val="32"/>
        </w:rPr>
      </w:pPr>
      <w:r>
        <w:rPr>
          <w:rFonts w:hint="eastAsia" w:ascii="仿宋" w:hAnsi="仿宋" w:eastAsia="仿宋"/>
          <w:sz w:val="32"/>
        </w:rPr>
        <w:t>在交易功能方面需支持做市相关基本交易和非交易指令，支持做市策略交易功能、批量撤单、一键撤单等；在交易业务管理方面需支持合约管理、订单管理，支持最大买卖价差和最小报价数量的设置、监控和预警，支持报价参数管理、报价模型管理，支持限仓和资金持仓前端控制、合约覆盖情况报告监控及预警、开盘、收盘及熔断集合竞价参与率情况报告监控及预警、连续竞价参与率、回应报价参与率情况报告监控及预警等。</w:t>
      </w:r>
    </w:p>
    <w:p>
      <w:pPr>
        <w:pStyle w:val="4"/>
        <w:spacing w:before="0" w:line="560" w:lineRule="exact"/>
        <w:ind w:firstLine="640"/>
        <w:rPr>
          <w:rFonts w:ascii="黑体" w:hAnsi="黑体" w:eastAsia="黑体"/>
          <w:b w:val="0"/>
          <w:sz w:val="32"/>
        </w:rPr>
      </w:pPr>
      <w:bookmarkStart w:id="128" w:name="_Toc23153"/>
      <w:bookmarkStart w:id="129" w:name="_Toc16873"/>
      <w:bookmarkStart w:id="130" w:name="_Toc67332329"/>
      <w:r>
        <w:rPr>
          <w:rFonts w:hint="eastAsia" w:ascii="黑体" w:hAnsi="黑体" w:eastAsia="黑体"/>
          <w:b w:val="0"/>
          <w:sz w:val="32"/>
        </w:rPr>
        <w:t>三、运维部署要求</w:t>
      </w:r>
      <w:bookmarkEnd w:id="128"/>
      <w:bookmarkEnd w:id="129"/>
      <w:bookmarkEnd w:id="130"/>
    </w:p>
    <w:p>
      <w:pPr>
        <w:spacing w:line="560" w:lineRule="exact"/>
        <w:ind w:firstLine="640"/>
        <w:rPr>
          <w:rFonts w:ascii="仿宋" w:hAnsi="仿宋" w:eastAsia="仿宋"/>
          <w:sz w:val="32"/>
        </w:rPr>
      </w:pPr>
      <w:r>
        <w:rPr>
          <w:rFonts w:hint="eastAsia" w:ascii="仿宋" w:hAnsi="仿宋" w:eastAsia="仿宋"/>
          <w:sz w:val="32"/>
        </w:rPr>
        <w:t>做市系统运维要求包括但不限于：</w:t>
      </w:r>
    </w:p>
    <w:p>
      <w:pPr>
        <w:spacing w:line="560" w:lineRule="exact"/>
        <w:ind w:firstLine="640"/>
        <w:rPr>
          <w:rFonts w:ascii="仿宋" w:hAnsi="仿宋" w:eastAsia="仿宋"/>
          <w:sz w:val="32"/>
        </w:rPr>
      </w:pPr>
      <w:r>
        <w:rPr>
          <w:rFonts w:hint="eastAsia" w:ascii="仿宋" w:hAnsi="仿宋" w:eastAsia="仿宋"/>
          <w:sz w:val="32"/>
        </w:rPr>
        <w:t>（一）做市系统在部署上与期权经纪业务系统、自营业务系统及现货系统进行隔离；</w:t>
      </w:r>
    </w:p>
    <w:p>
      <w:pPr>
        <w:spacing w:line="560" w:lineRule="exact"/>
        <w:ind w:firstLine="640"/>
        <w:rPr>
          <w:rFonts w:ascii="仿宋" w:hAnsi="仿宋" w:eastAsia="仿宋"/>
          <w:sz w:val="32"/>
        </w:rPr>
      </w:pPr>
      <w:r>
        <w:rPr>
          <w:rFonts w:hint="eastAsia" w:ascii="仿宋" w:hAnsi="仿宋" w:eastAsia="仿宋"/>
          <w:sz w:val="32"/>
        </w:rPr>
        <w:t>（二）建立灾难备份系统，主备系统实际切换时间及灾备系统处理能力满足行业标准要求，交易及报盘线路需有备份线路，且主用线路与备份线路均同时接入生产及灾备系统；</w:t>
      </w:r>
    </w:p>
    <w:p>
      <w:pPr>
        <w:spacing w:line="560" w:lineRule="exact"/>
        <w:ind w:firstLine="640"/>
        <w:rPr>
          <w:rFonts w:ascii="仿宋" w:hAnsi="仿宋" w:eastAsia="仿宋"/>
          <w:sz w:val="32"/>
        </w:rPr>
      </w:pPr>
      <w:r>
        <w:rPr>
          <w:rFonts w:hint="eastAsia" w:ascii="仿宋" w:hAnsi="仿宋" w:eastAsia="仿宋"/>
          <w:sz w:val="32"/>
        </w:rPr>
        <w:t>（三）配置及权限管理，完成配置管理制度、权限管理制度及相关流程的制定工作，完成对软硬件配置清单的整理，系统运维操作与审核角色分离、前台与后台角色分离、专岗盯市、风控、稽核岗与业务岗分离；</w:t>
      </w:r>
    </w:p>
    <w:p>
      <w:pPr>
        <w:spacing w:line="560" w:lineRule="exact"/>
        <w:ind w:firstLine="640"/>
        <w:rPr>
          <w:rFonts w:ascii="仿宋" w:hAnsi="仿宋" w:eastAsia="仿宋"/>
          <w:sz w:val="32"/>
        </w:rPr>
      </w:pPr>
      <w:r>
        <w:rPr>
          <w:rFonts w:hint="eastAsia" w:ascii="仿宋" w:hAnsi="仿宋" w:eastAsia="仿宋"/>
          <w:sz w:val="32"/>
        </w:rPr>
        <w:t>（四）应急管理，制定应急预案，定期组织运行人员进行应急演练，留存演练记录；</w:t>
      </w:r>
    </w:p>
    <w:p>
      <w:pPr>
        <w:spacing w:line="560" w:lineRule="exact"/>
        <w:ind w:firstLine="640"/>
        <w:rPr>
          <w:rFonts w:ascii="仿宋" w:hAnsi="仿宋" w:eastAsia="仿宋"/>
          <w:sz w:val="32"/>
        </w:rPr>
      </w:pPr>
      <w:r>
        <w:rPr>
          <w:rFonts w:hint="eastAsia" w:ascii="仿宋" w:hAnsi="仿宋" w:eastAsia="仿宋"/>
          <w:sz w:val="32"/>
        </w:rPr>
        <w:t>（五）备份管理，建立备份与恢复管理相关的管理制度，对备份信息的备份方式、备份频度、存储介质和保存期等进行规范；</w:t>
      </w:r>
    </w:p>
    <w:p>
      <w:pPr>
        <w:spacing w:line="560" w:lineRule="exact"/>
        <w:ind w:firstLine="640"/>
        <w:rPr>
          <w:rFonts w:ascii="仿宋" w:hAnsi="仿宋" w:eastAsia="仿宋"/>
          <w:sz w:val="32"/>
        </w:rPr>
      </w:pPr>
      <w:r>
        <w:rPr>
          <w:rFonts w:hint="eastAsia" w:ascii="仿宋" w:hAnsi="仿宋" w:eastAsia="仿宋"/>
          <w:sz w:val="32"/>
        </w:rPr>
        <w:t>（六）监控管理，建立完善的运行监控机制，对做市系统的运行环境、运行状况进行实时监控，并提供多种报警。对报警记录进行及时处理，并留存相关记录。系统需进行定期检查，应具有相应报告，对检查报告进行分析、评审，并采取必要的应对措施。</w:t>
      </w:r>
    </w:p>
    <w:p>
      <w:pPr>
        <w:widowControl/>
        <w:ind w:firstLine="0" w:firstLineChars="0"/>
        <w:jc w:val="left"/>
        <w:rPr>
          <w:rFonts w:ascii="仿宋" w:hAnsi="仿宋" w:eastAsia="仿宋"/>
          <w:sz w:val="32"/>
        </w:rPr>
      </w:pPr>
      <w:r>
        <w:rPr>
          <w:rFonts w:ascii="仿宋" w:hAnsi="仿宋" w:eastAsia="仿宋"/>
          <w:sz w:val="32"/>
        </w:rPr>
        <w:br w:type="page"/>
      </w:r>
    </w:p>
    <w:p>
      <w:pPr>
        <w:pStyle w:val="3"/>
        <w:spacing w:before="204" w:beforeLines="50" w:after="204" w:afterLines="50" w:line="560" w:lineRule="exact"/>
        <w:ind w:firstLine="0" w:firstLineChars="0"/>
        <w:jc w:val="center"/>
        <w:outlineLvl w:val="0"/>
        <w:rPr>
          <w:rFonts w:ascii="黑体" w:hAnsi="黑体" w:eastAsia="黑体"/>
          <w:bCs/>
          <w:sz w:val="32"/>
        </w:rPr>
      </w:pPr>
      <w:bookmarkStart w:id="131" w:name="_Toc1755"/>
      <w:bookmarkStart w:id="132" w:name="_Toc67332330"/>
      <w:bookmarkStart w:id="133" w:name="_Toc16036"/>
      <w:r>
        <w:rPr>
          <w:rFonts w:hint="eastAsia" w:ascii="黑体" w:hAnsi="黑体" w:eastAsia="黑体"/>
          <w:bCs/>
          <w:sz w:val="32"/>
        </w:rPr>
        <w:t>第九章</w:t>
      </w:r>
      <w:r>
        <w:rPr>
          <w:rFonts w:ascii="黑体" w:hAnsi="黑体" w:eastAsia="黑体"/>
          <w:bCs/>
          <w:sz w:val="32"/>
        </w:rPr>
        <w:t xml:space="preserve"> </w:t>
      </w:r>
      <w:r>
        <w:rPr>
          <w:rFonts w:hint="eastAsia" w:ascii="黑体" w:hAnsi="黑体" w:eastAsia="黑体"/>
          <w:bCs/>
          <w:sz w:val="32"/>
        </w:rPr>
        <w:t>监督管理</w:t>
      </w:r>
      <w:bookmarkEnd w:id="131"/>
      <w:bookmarkEnd w:id="132"/>
      <w:bookmarkEnd w:id="133"/>
    </w:p>
    <w:p>
      <w:pPr>
        <w:pStyle w:val="4"/>
        <w:spacing w:before="0" w:line="560" w:lineRule="exact"/>
        <w:ind w:firstLine="640"/>
        <w:rPr>
          <w:rFonts w:ascii="黑体" w:hAnsi="黑体" w:eastAsia="黑体"/>
          <w:b w:val="0"/>
          <w:sz w:val="32"/>
        </w:rPr>
      </w:pPr>
      <w:bookmarkStart w:id="134" w:name="_Toc30730"/>
      <w:bookmarkStart w:id="135" w:name="_Toc19123"/>
      <w:bookmarkStart w:id="136" w:name="_Toc67332331"/>
      <w:r>
        <w:rPr>
          <w:rFonts w:hint="eastAsia" w:ascii="黑体" w:hAnsi="黑体" w:eastAsia="黑体"/>
          <w:b w:val="0"/>
          <w:sz w:val="32"/>
        </w:rPr>
        <w:t>一、调整或取消特定合约品种做市资格</w:t>
      </w:r>
      <w:bookmarkEnd w:id="134"/>
      <w:bookmarkEnd w:id="135"/>
      <w:bookmarkEnd w:id="136"/>
    </w:p>
    <w:p>
      <w:pPr>
        <w:spacing w:line="560" w:lineRule="exact"/>
        <w:ind w:firstLine="640"/>
        <w:rPr>
          <w:rFonts w:ascii="仿宋" w:hAnsi="仿宋" w:eastAsia="仿宋"/>
          <w:sz w:val="32"/>
        </w:rPr>
      </w:pPr>
      <w:r>
        <w:rPr>
          <w:rFonts w:hint="eastAsia" w:ascii="仿宋" w:hAnsi="仿宋" w:eastAsia="仿宋"/>
          <w:sz w:val="32"/>
        </w:rPr>
        <w:t>主做市商的做市服务出现下列情形之一的，本所可以将其调整为特定合约品种的一般做市商；一般做市商的做市服务出现下列情形之一的，本所可以取消其对特定合约品种的做市资格，并向市场公告：</w:t>
      </w:r>
    </w:p>
    <w:p>
      <w:pPr>
        <w:spacing w:line="560" w:lineRule="exact"/>
        <w:ind w:firstLine="640"/>
        <w:rPr>
          <w:rFonts w:ascii="仿宋" w:hAnsi="仿宋" w:eastAsia="仿宋"/>
          <w:sz w:val="32"/>
        </w:rPr>
      </w:pPr>
      <w:r>
        <w:rPr>
          <w:rFonts w:hint="eastAsia" w:ascii="仿宋" w:hAnsi="仿宋" w:eastAsia="仿宋"/>
          <w:sz w:val="32"/>
        </w:rPr>
        <w:t>（一）对负责做市的合约品种，6个月中任意2个月未到达本所规定或者做市协议约定的做市要求，或连续6个月均未获得A及以上评价；</w:t>
      </w:r>
    </w:p>
    <w:p>
      <w:pPr>
        <w:spacing w:line="560" w:lineRule="exact"/>
        <w:ind w:firstLine="640"/>
        <w:rPr>
          <w:rFonts w:ascii="仿宋" w:hAnsi="仿宋" w:eastAsia="仿宋"/>
          <w:sz w:val="32"/>
        </w:rPr>
      </w:pPr>
      <w:r>
        <w:rPr>
          <w:rFonts w:hint="eastAsia" w:ascii="仿宋" w:hAnsi="仿宋" w:eastAsia="仿宋"/>
          <w:sz w:val="32"/>
        </w:rPr>
        <w:t>（二）对本所指定其做市的特定期权合约，连续6个月未达到本所及做市协议约定的做市要求；期权合约存续期不足6个月的，在其承担做市义务的存续期内均未达到本所规定或者做市协议约定的做市要求；</w:t>
      </w:r>
    </w:p>
    <w:p>
      <w:pPr>
        <w:spacing w:line="560" w:lineRule="exact"/>
        <w:ind w:firstLine="640"/>
        <w:rPr>
          <w:rFonts w:ascii="仿宋" w:hAnsi="仿宋" w:eastAsia="仿宋"/>
          <w:sz w:val="32"/>
        </w:rPr>
      </w:pPr>
      <w:r>
        <w:rPr>
          <w:rFonts w:hint="eastAsia" w:ascii="仿宋" w:hAnsi="仿宋" w:eastAsia="仿宋"/>
          <w:sz w:val="32"/>
        </w:rPr>
        <w:t>（三）本所规定或者做市协议约定的其他情形。</w:t>
      </w:r>
    </w:p>
    <w:p>
      <w:pPr>
        <w:spacing w:line="560" w:lineRule="exact"/>
        <w:ind w:firstLine="640"/>
        <w:rPr>
          <w:rFonts w:ascii="仿宋" w:hAnsi="仿宋" w:eastAsia="仿宋"/>
          <w:sz w:val="32"/>
        </w:rPr>
      </w:pPr>
      <w:r>
        <w:rPr>
          <w:rFonts w:hint="eastAsia" w:ascii="仿宋" w:hAnsi="仿宋" w:eastAsia="仿宋"/>
          <w:sz w:val="32"/>
        </w:rPr>
        <w:t>主做市商被调整为一般做市商的，1年以内不得重新申请成为同一合约品种的主做市商。做市商对特定合约品种的做市资格被取消的，1年以内不得重新申请对同一合约品种提供做市服务。</w:t>
      </w:r>
    </w:p>
    <w:p>
      <w:pPr>
        <w:pStyle w:val="4"/>
        <w:spacing w:before="0" w:line="560" w:lineRule="exact"/>
        <w:ind w:firstLine="640"/>
        <w:rPr>
          <w:rFonts w:ascii="黑体" w:hAnsi="黑体" w:eastAsia="黑体"/>
          <w:b w:val="0"/>
          <w:sz w:val="32"/>
        </w:rPr>
      </w:pPr>
      <w:bookmarkStart w:id="137" w:name="_Toc6480"/>
      <w:bookmarkStart w:id="138" w:name="_Toc18636"/>
      <w:bookmarkStart w:id="139" w:name="_Toc67332332"/>
      <w:r>
        <w:rPr>
          <w:rFonts w:hint="eastAsia" w:ascii="黑体" w:hAnsi="黑体" w:eastAsia="黑体"/>
          <w:b w:val="0"/>
          <w:sz w:val="32"/>
        </w:rPr>
        <w:t>二、取消全部合约品种做市资格</w:t>
      </w:r>
      <w:bookmarkEnd w:id="137"/>
      <w:bookmarkEnd w:id="138"/>
      <w:bookmarkEnd w:id="139"/>
    </w:p>
    <w:p>
      <w:pPr>
        <w:spacing w:line="560" w:lineRule="exact"/>
        <w:ind w:firstLine="640"/>
        <w:rPr>
          <w:rFonts w:ascii="仿宋" w:hAnsi="仿宋" w:eastAsia="仿宋"/>
          <w:sz w:val="32"/>
        </w:rPr>
      </w:pPr>
      <w:r>
        <w:rPr>
          <w:rFonts w:hint="eastAsia" w:ascii="仿宋" w:hAnsi="仿宋" w:eastAsia="仿宋"/>
          <w:sz w:val="32"/>
        </w:rPr>
        <w:t>做市商有下列情形之一的，本所可以取消其全部合约品种的做市资格：</w:t>
      </w:r>
    </w:p>
    <w:p>
      <w:pPr>
        <w:spacing w:line="560" w:lineRule="exact"/>
        <w:ind w:firstLine="640"/>
        <w:rPr>
          <w:rFonts w:ascii="仿宋" w:hAnsi="仿宋" w:eastAsia="仿宋"/>
          <w:sz w:val="32"/>
        </w:rPr>
      </w:pPr>
    </w:p>
    <w:p>
      <w:pPr>
        <w:spacing w:line="560" w:lineRule="exact"/>
        <w:ind w:firstLine="640"/>
        <w:rPr>
          <w:rFonts w:ascii="仿宋" w:hAnsi="仿宋" w:eastAsia="仿宋"/>
          <w:sz w:val="32"/>
        </w:rPr>
      </w:pPr>
      <w:r>
        <w:rPr>
          <w:rFonts w:hint="eastAsia" w:ascii="仿宋" w:hAnsi="仿宋" w:eastAsia="仿宋"/>
          <w:sz w:val="32"/>
        </w:rPr>
        <w:t>（一）不再符合《指引》第六条规定的条件；</w:t>
      </w:r>
    </w:p>
    <w:p>
      <w:pPr>
        <w:spacing w:line="560" w:lineRule="exact"/>
        <w:ind w:firstLine="640"/>
        <w:rPr>
          <w:rFonts w:ascii="仿宋" w:hAnsi="仿宋" w:eastAsia="仿宋"/>
          <w:sz w:val="32"/>
        </w:rPr>
      </w:pPr>
      <w:r>
        <w:rPr>
          <w:rFonts w:hint="eastAsia" w:ascii="仿宋" w:hAnsi="仿宋" w:eastAsia="仿宋"/>
          <w:sz w:val="32"/>
        </w:rPr>
        <w:t>（二）不再为任何合约品种提供做市服务；</w:t>
      </w:r>
    </w:p>
    <w:p>
      <w:pPr>
        <w:spacing w:line="560" w:lineRule="exact"/>
        <w:ind w:firstLine="640"/>
        <w:rPr>
          <w:rFonts w:ascii="仿宋" w:hAnsi="仿宋" w:eastAsia="仿宋"/>
          <w:sz w:val="32"/>
        </w:rPr>
      </w:pPr>
      <w:r>
        <w:rPr>
          <w:rFonts w:hint="eastAsia" w:ascii="仿宋" w:hAnsi="仿宋" w:eastAsia="仿宋"/>
          <w:sz w:val="32"/>
        </w:rPr>
        <w:t>（三）存在操纵或干扰期权市场价格或合约标的市场等违法违规行为；</w:t>
      </w:r>
    </w:p>
    <w:p>
      <w:pPr>
        <w:spacing w:line="560" w:lineRule="exact"/>
        <w:ind w:firstLine="640"/>
        <w:rPr>
          <w:rFonts w:ascii="仿宋" w:hAnsi="仿宋" w:eastAsia="仿宋"/>
          <w:sz w:val="32"/>
        </w:rPr>
      </w:pPr>
      <w:r>
        <w:rPr>
          <w:rFonts w:hint="eastAsia" w:ascii="仿宋" w:hAnsi="仿宋" w:eastAsia="仿宋"/>
          <w:sz w:val="32"/>
        </w:rPr>
        <w:t>（四）本所规定或者做市协议约定的其他情形。</w:t>
      </w:r>
    </w:p>
    <w:p>
      <w:pPr>
        <w:spacing w:line="560" w:lineRule="exact"/>
        <w:ind w:firstLine="640"/>
        <w:rPr>
          <w:rFonts w:ascii="仿宋" w:hAnsi="仿宋" w:eastAsia="仿宋"/>
          <w:sz w:val="32"/>
        </w:rPr>
      </w:pPr>
      <w:r>
        <w:rPr>
          <w:rFonts w:hint="eastAsia" w:ascii="仿宋" w:hAnsi="仿宋" w:eastAsia="仿宋"/>
          <w:sz w:val="32"/>
        </w:rPr>
        <w:t>做市商对全部合约品种做市资格被取消的，</w:t>
      </w:r>
      <w:r>
        <w:rPr>
          <w:rFonts w:ascii="仿宋" w:hAnsi="仿宋" w:eastAsia="仿宋"/>
          <w:sz w:val="32"/>
        </w:rPr>
        <w:t>1</w:t>
      </w:r>
      <w:r>
        <w:rPr>
          <w:rFonts w:hint="eastAsia" w:ascii="仿宋" w:hAnsi="仿宋" w:eastAsia="仿宋"/>
          <w:sz w:val="32"/>
        </w:rPr>
        <w:t>年以内不得重新申请对任一合约品种提供做市服务。</w:t>
      </w:r>
      <w:r>
        <w:rPr>
          <w:rFonts w:hint="eastAsia" w:ascii="仿宋" w:hAnsi="仿宋" w:eastAsia="仿宋"/>
          <w:sz w:val="32"/>
        </w:rPr>
        <w:br w:type="page"/>
      </w:r>
    </w:p>
    <w:p>
      <w:pPr>
        <w:pStyle w:val="3"/>
        <w:adjustRightInd w:val="0"/>
        <w:snapToGrid w:val="0"/>
        <w:spacing w:after="204" w:afterLines="50"/>
        <w:ind w:firstLine="0" w:firstLineChars="0"/>
        <w:outlineLvl w:val="0"/>
        <w:rPr>
          <w:rFonts w:ascii="仿宋" w:hAnsi="仿宋" w:eastAsia="仿宋"/>
          <w:bCs/>
          <w:sz w:val="32"/>
        </w:rPr>
      </w:pPr>
      <w:bookmarkStart w:id="140" w:name="_Toc67332333"/>
      <w:bookmarkStart w:id="141" w:name="_Toc4828"/>
      <w:bookmarkStart w:id="142" w:name="_Toc10367"/>
      <w:r>
        <w:rPr>
          <w:rFonts w:hint="eastAsia" w:ascii="黑体" w:hAnsi="黑体" w:eastAsia="黑体"/>
          <w:bCs/>
          <w:sz w:val="32"/>
        </w:rPr>
        <w:t>附件1</w:t>
      </w:r>
      <w:r>
        <w:rPr>
          <w:rFonts w:hint="eastAsia" w:ascii="仿宋" w:hAnsi="仿宋" w:eastAsia="仿宋"/>
          <w:bCs/>
          <w:sz w:val="32"/>
        </w:rPr>
        <w:t>：股票期权做市业务准备情况专项检查工作底稿</w:t>
      </w:r>
      <w:bookmarkEnd w:id="140"/>
      <w:bookmarkEnd w:id="141"/>
      <w:bookmarkEnd w:id="142"/>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735"/>
        <w:gridCol w:w="3086"/>
        <w:gridCol w:w="145"/>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tcBorders>
              <w:bottom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检查项目</w:t>
            </w:r>
          </w:p>
        </w:tc>
        <w:tc>
          <w:tcPr>
            <w:tcW w:w="416" w:type="pct"/>
            <w:tcBorders>
              <w:bottom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编号</w:t>
            </w:r>
          </w:p>
        </w:tc>
        <w:tc>
          <w:tcPr>
            <w:tcW w:w="1747" w:type="pct"/>
            <w:tcBorders>
              <w:bottom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检查内容</w:t>
            </w:r>
          </w:p>
        </w:tc>
        <w:tc>
          <w:tcPr>
            <w:tcW w:w="2024" w:type="pct"/>
            <w:gridSpan w:val="2"/>
            <w:tcBorders>
              <w:bottom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E7E6E6" w:themeFill="background2"/>
            <w:vAlign w:val="center"/>
          </w:tcPr>
          <w:p>
            <w:pPr>
              <w:ind w:firstLine="0" w:firstLineChars="0"/>
              <w:jc w:val="center"/>
              <w:rPr>
                <w:rFonts w:ascii="仿宋" w:hAnsi="仿宋" w:eastAsia="仿宋"/>
                <w:b/>
                <w:sz w:val="21"/>
                <w:szCs w:val="21"/>
              </w:rPr>
            </w:pPr>
            <w:r>
              <w:rPr>
                <w:rFonts w:hint="eastAsia" w:ascii="仿宋" w:hAnsi="仿宋" w:eastAsia="仿宋"/>
                <w:b/>
                <w:sz w:val="21"/>
                <w:szCs w:val="21"/>
              </w:rPr>
              <w:t>一、基本要求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vAlign w:val="center"/>
          </w:tcPr>
          <w:p>
            <w:pPr>
              <w:ind w:firstLine="0" w:firstLineChars="0"/>
              <w:jc w:val="center"/>
              <w:rPr>
                <w:rFonts w:ascii="仿宋" w:hAnsi="仿宋" w:eastAsia="仿宋"/>
                <w:sz w:val="21"/>
                <w:szCs w:val="21"/>
              </w:rPr>
            </w:pPr>
            <w:r>
              <w:rPr>
                <w:rFonts w:hint="eastAsia" w:ascii="仿宋" w:hAnsi="仿宋" w:eastAsia="仿宋"/>
                <w:sz w:val="21"/>
                <w:szCs w:val="21"/>
              </w:rPr>
              <w:t>组织架构</w:t>
            </w: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1</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设立独立运作团队，人员权责清晰</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《证券期货经营机构参与股票期权交易试点指引》、《深圳证券交易所股票期权试点做市商业务指引》（以下简称“做市商指引”）《深圳证券交易所股票期权试点做市商业务指南》（以下简称“做市商指南”）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2</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明确自营、风控、合规、结算等部门相关职能和责任</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《证券期货经营机构参与股票期权交易试点指引》《做市商指南》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vAlign w:val="center"/>
          </w:tcPr>
          <w:p>
            <w:pPr>
              <w:ind w:firstLine="0" w:firstLineChars="0"/>
              <w:jc w:val="center"/>
              <w:rPr>
                <w:rFonts w:ascii="仿宋" w:hAnsi="仿宋" w:eastAsia="仿宋"/>
                <w:sz w:val="21"/>
                <w:szCs w:val="21"/>
              </w:rPr>
            </w:pPr>
            <w:r>
              <w:rPr>
                <w:rFonts w:hint="eastAsia" w:ascii="仿宋" w:hAnsi="仿宋" w:eastAsia="仿宋"/>
                <w:sz w:val="21"/>
                <w:szCs w:val="21"/>
              </w:rPr>
              <w:t>制度与管理办法</w:t>
            </w:r>
          </w:p>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3</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期权做市商业务实施方案</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《做市商指引》《做市商指南》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4</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内部管理制度（包括业务运行管理，公司对做市业务的监督管理制度、明确账户责任人及其职责等）</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《做市商指引》《做市商指南》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5</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风险控制制度（包括保证金管理制度、压力测试机制等）</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《做市商指引》《做市商指南》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6</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应急预案（突发事件的管理）</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tcBorders>
              <w:bottom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业务流程</w:t>
            </w:r>
          </w:p>
        </w:tc>
        <w:tc>
          <w:tcPr>
            <w:tcW w:w="416" w:type="pct"/>
            <w:tcBorders>
              <w:bottom w:val="single" w:color="auto" w:sz="4" w:space="0"/>
            </w:tcBorders>
            <w:vAlign w:val="center"/>
          </w:tcPr>
          <w:p>
            <w:pPr>
              <w:ind w:firstLine="0" w:firstLineChars="0"/>
              <w:jc w:val="center"/>
              <w:rPr>
                <w:rFonts w:ascii="仿宋" w:hAnsi="仿宋" w:eastAsia="仿宋"/>
                <w:sz w:val="21"/>
                <w:szCs w:val="21"/>
              </w:rPr>
            </w:pPr>
            <w:r>
              <w:rPr>
                <w:rFonts w:ascii="仿宋" w:hAnsi="仿宋" w:eastAsia="仿宋"/>
                <w:sz w:val="21"/>
                <w:szCs w:val="21"/>
              </w:rPr>
              <w:t>7</w:t>
            </w:r>
          </w:p>
        </w:tc>
        <w:tc>
          <w:tcPr>
            <w:tcW w:w="1747" w:type="pct"/>
            <w:tcBorders>
              <w:bottom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业务流程（包括做市业务管理流程、额度管理流程、策略及模型测试流程等）</w:t>
            </w:r>
          </w:p>
        </w:tc>
        <w:tc>
          <w:tcPr>
            <w:tcW w:w="2024" w:type="pct"/>
            <w:gridSpan w:val="2"/>
            <w:tcBorders>
              <w:bottom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E7E6E6" w:themeFill="background2"/>
            <w:vAlign w:val="center"/>
          </w:tcPr>
          <w:p>
            <w:pPr>
              <w:ind w:firstLine="0" w:firstLineChars="0"/>
              <w:jc w:val="center"/>
              <w:rPr>
                <w:rFonts w:ascii="仿宋" w:hAnsi="仿宋" w:eastAsia="仿宋"/>
                <w:b/>
                <w:sz w:val="21"/>
                <w:szCs w:val="21"/>
              </w:rPr>
            </w:pPr>
            <w:r>
              <w:rPr>
                <w:rFonts w:hint="eastAsia" w:ascii="仿宋" w:hAnsi="仿宋" w:eastAsia="仿宋"/>
                <w:b/>
                <w:sz w:val="21"/>
                <w:szCs w:val="21"/>
              </w:rPr>
              <w:t>二、功能要求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vAlign w:val="center"/>
          </w:tcPr>
          <w:p>
            <w:pPr>
              <w:ind w:firstLine="0" w:firstLineChars="0"/>
              <w:jc w:val="center"/>
              <w:rPr>
                <w:rFonts w:ascii="仿宋" w:hAnsi="仿宋" w:eastAsia="仿宋"/>
                <w:sz w:val="21"/>
                <w:szCs w:val="21"/>
              </w:rPr>
            </w:pPr>
            <w:r>
              <w:rPr>
                <w:rFonts w:hint="eastAsia" w:ascii="仿宋" w:hAnsi="仿宋" w:eastAsia="仿宋"/>
                <w:sz w:val="21"/>
                <w:szCs w:val="21"/>
              </w:rPr>
              <w:t>基本交易功能</w:t>
            </w: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8</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数据接收测试（合约基本信息接收、行情接收、行权数据接收等）</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《深圳证券交易所股票期权试点交易规则》（以下简称“交易规则”）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9</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合约管理（支持按标的部分或全部批量导入合约列表）</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《交易规则》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10</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订单管理（支持已成交和未成交的订单管理）</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《交易规则》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11</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支持基本交易指令（包括买入开仓</w:t>
            </w:r>
            <w:r>
              <w:rPr>
                <w:rFonts w:ascii="仿宋" w:hAnsi="仿宋" w:eastAsia="仿宋"/>
                <w:sz w:val="21"/>
                <w:szCs w:val="21"/>
              </w:rPr>
              <w:t>/</w:t>
            </w:r>
            <w:r>
              <w:rPr>
                <w:rFonts w:hint="eastAsia" w:ascii="仿宋" w:hAnsi="仿宋" w:eastAsia="仿宋"/>
                <w:sz w:val="21"/>
                <w:szCs w:val="21"/>
              </w:rPr>
              <w:t>买入平仓</w:t>
            </w:r>
            <w:r>
              <w:rPr>
                <w:rFonts w:ascii="仿宋" w:hAnsi="仿宋" w:eastAsia="仿宋"/>
                <w:sz w:val="21"/>
                <w:szCs w:val="21"/>
              </w:rPr>
              <w:t>/</w:t>
            </w:r>
            <w:r>
              <w:rPr>
                <w:rFonts w:hint="eastAsia" w:ascii="仿宋" w:hAnsi="仿宋" w:eastAsia="仿宋"/>
                <w:sz w:val="21"/>
                <w:szCs w:val="21"/>
              </w:rPr>
              <w:t>卖出平仓</w:t>
            </w:r>
            <w:r>
              <w:rPr>
                <w:rFonts w:ascii="仿宋" w:hAnsi="仿宋" w:eastAsia="仿宋"/>
                <w:sz w:val="21"/>
                <w:szCs w:val="21"/>
              </w:rPr>
              <w:t>/</w:t>
            </w:r>
            <w:r>
              <w:rPr>
                <w:rFonts w:hint="eastAsia" w:ascii="仿宋" w:hAnsi="仿宋" w:eastAsia="仿宋"/>
                <w:sz w:val="21"/>
                <w:szCs w:val="21"/>
              </w:rPr>
              <w:t>卖出开仓</w:t>
            </w:r>
            <w:r>
              <w:rPr>
                <w:rFonts w:ascii="仿宋" w:hAnsi="仿宋" w:eastAsia="仿宋"/>
                <w:sz w:val="21"/>
                <w:szCs w:val="21"/>
              </w:rPr>
              <w:t>/</w:t>
            </w:r>
            <w:r>
              <w:rPr>
                <w:rFonts w:hint="eastAsia" w:ascii="仿宋" w:hAnsi="仿宋" w:eastAsia="仿宋"/>
                <w:sz w:val="21"/>
                <w:szCs w:val="21"/>
              </w:rPr>
              <w:t>备兑开仓</w:t>
            </w:r>
            <w:r>
              <w:rPr>
                <w:rFonts w:ascii="仿宋" w:hAnsi="仿宋" w:eastAsia="仿宋"/>
                <w:sz w:val="21"/>
                <w:szCs w:val="21"/>
              </w:rPr>
              <w:t>/</w:t>
            </w:r>
            <w:r>
              <w:rPr>
                <w:rFonts w:hint="eastAsia" w:ascii="仿宋" w:hAnsi="仿宋" w:eastAsia="仿宋"/>
                <w:sz w:val="21"/>
                <w:szCs w:val="21"/>
              </w:rPr>
              <w:t>备兑平仓</w:t>
            </w:r>
            <w:r>
              <w:rPr>
                <w:rFonts w:ascii="仿宋" w:hAnsi="仿宋" w:eastAsia="仿宋"/>
                <w:sz w:val="21"/>
                <w:szCs w:val="21"/>
              </w:rPr>
              <w:t>/</w:t>
            </w:r>
            <w:r>
              <w:rPr>
                <w:rFonts w:hint="eastAsia" w:ascii="仿宋" w:hAnsi="仿宋" w:eastAsia="仿宋"/>
                <w:sz w:val="21"/>
                <w:szCs w:val="21"/>
              </w:rPr>
              <w:t>撤单）</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《交易规则》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12</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支持非交易指令（包括证券锁定与解锁指令</w:t>
            </w:r>
            <w:r>
              <w:rPr>
                <w:rFonts w:ascii="仿宋" w:hAnsi="仿宋" w:eastAsia="仿宋"/>
                <w:sz w:val="21"/>
                <w:szCs w:val="21"/>
              </w:rPr>
              <w:t>/</w:t>
            </w:r>
            <w:r>
              <w:rPr>
                <w:rFonts w:hint="eastAsia" w:ascii="仿宋" w:hAnsi="仿宋" w:eastAsia="仿宋"/>
                <w:sz w:val="21"/>
                <w:szCs w:val="21"/>
              </w:rPr>
              <w:t>行权指令</w:t>
            </w:r>
            <w:r>
              <w:rPr>
                <w:rFonts w:ascii="仿宋" w:hAnsi="仿宋" w:eastAsia="仿宋"/>
                <w:sz w:val="21"/>
                <w:szCs w:val="21"/>
              </w:rPr>
              <w:t>/</w:t>
            </w:r>
            <w:r>
              <w:rPr>
                <w:rFonts w:hint="eastAsia" w:ascii="仿宋" w:hAnsi="仿宋" w:eastAsia="仿宋"/>
                <w:sz w:val="21"/>
                <w:szCs w:val="21"/>
              </w:rPr>
              <w:t>撤销行权指令</w:t>
            </w:r>
            <w:r>
              <w:rPr>
                <w:rFonts w:ascii="仿宋" w:hAnsi="仿宋" w:eastAsia="仿宋"/>
                <w:sz w:val="21"/>
                <w:szCs w:val="21"/>
              </w:rPr>
              <w:t>/</w:t>
            </w:r>
            <w:r>
              <w:rPr>
                <w:rFonts w:hint="eastAsia" w:ascii="仿宋" w:hAnsi="仿宋" w:eastAsia="仿宋"/>
                <w:sz w:val="21"/>
                <w:szCs w:val="21"/>
              </w:rPr>
              <w:t>处置账户划转指令）</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《交易规则》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13</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支持普通订单（</w:t>
            </w:r>
            <w:r>
              <w:rPr>
                <w:rFonts w:ascii="仿宋" w:hAnsi="仿宋" w:eastAsia="仿宋"/>
                <w:sz w:val="21"/>
                <w:szCs w:val="21"/>
              </w:rPr>
              <w:t>order</w:t>
            </w:r>
            <w:r>
              <w:rPr>
                <w:rFonts w:hint="eastAsia" w:ascii="仿宋" w:hAnsi="仿宋" w:eastAsia="仿宋"/>
                <w:sz w:val="21"/>
                <w:szCs w:val="21"/>
              </w:rPr>
              <w:t>），包括普通限价订单、全额成交或撤销申报（</w:t>
            </w:r>
            <w:r>
              <w:rPr>
                <w:rFonts w:ascii="仿宋" w:hAnsi="仿宋" w:eastAsia="仿宋"/>
                <w:sz w:val="21"/>
                <w:szCs w:val="21"/>
              </w:rPr>
              <w:t>FOK</w:t>
            </w:r>
            <w:r>
              <w:rPr>
                <w:rFonts w:hint="eastAsia" w:ascii="仿宋" w:hAnsi="仿宋" w:eastAsia="仿宋"/>
                <w:sz w:val="21"/>
                <w:szCs w:val="21"/>
              </w:rPr>
              <w:t>限价单）、对手方最优价格申报、本方最优价格申报、最优五档即时成交剩余撤销申报、即时成交剩余撤销申报、全额成交或撤销申报（</w:t>
            </w:r>
            <w:r>
              <w:rPr>
                <w:rFonts w:ascii="仿宋" w:hAnsi="仿宋" w:eastAsia="仿宋"/>
                <w:sz w:val="21"/>
                <w:szCs w:val="21"/>
              </w:rPr>
              <w:t>FOK</w:t>
            </w:r>
            <w:r>
              <w:rPr>
                <w:rFonts w:hint="eastAsia" w:ascii="仿宋" w:hAnsi="仿宋" w:eastAsia="仿宋"/>
                <w:sz w:val="21"/>
                <w:szCs w:val="21"/>
              </w:rPr>
              <w:t>市价单）</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《交易规则》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14</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支持前端监控（包括交易指令资金、持仓检查，市价申报按涨跌停价进行前端控制）</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《交易规则》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15</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支持限仓：按单标的进行持仓限制</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《交易规则》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16</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支持限购：根据核定买入额度进行限额控制</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《交易规则》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vAlign w:val="center"/>
          </w:tcPr>
          <w:p>
            <w:pPr>
              <w:ind w:firstLine="0" w:firstLineChars="0"/>
              <w:jc w:val="center"/>
              <w:rPr>
                <w:rFonts w:ascii="仿宋" w:hAnsi="仿宋" w:eastAsia="仿宋"/>
                <w:sz w:val="21"/>
                <w:szCs w:val="21"/>
              </w:rPr>
            </w:pPr>
            <w:r>
              <w:rPr>
                <w:rFonts w:hint="eastAsia" w:ascii="仿宋" w:hAnsi="仿宋" w:eastAsia="仿宋"/>
                <w:sz w:val="21"/>
                <w:szCs w:val="21"/>
              </w:rPr>
              <w:t>基本做市</w:t>
            </w:r>
          </w:p>
          <w:p>
            <w:pPr>
              <w:ind w:firstLine="0" w:firstLineChars="0"/>
              <w:jc w:val="center"/>
              <w:rPr>
                <w:rFonts w:ascii="仿宋" w:hAnsi="仿宋" w:eastAsia="仿宋"/>
                <w:sz w:val="21"/>
                <w:szCs w:val="21"/>
              </w:rPr>
            </w:pPr>
            <w:r>
              <w:rPr>
                <w:rFonts w:hint="eastAsia" w:ascii="仿宋" w:hAnsi="仿宋" w:eastAsia="仿宋"/>
                <w:sz w:val="21"/>
                <w:szCs w:val="21"/>
              </w:rPr>
              <w:t>功能</w:t>
            </w: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17</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支持报价指令（</w:t>
            </w:r>
            <w:r>
              <w:rPr>
                <w:rFonts w:ascii="仿宋" w:hAnsi="仿宋" w:eastAsia="仿宋"/>
                <w:sz w:val="21"/>
                <w:szCs w:val="21"/>
              </w:rPr>
              <w:t>quote</w:t>
            </w:r>
            <w:r>
              <w:rPr>
                <w:rFonts w:hint="eastAsia" w:ascii="仿宋" w:hAnsi="仿宋" w:eastAsia="仿宋"/>
                <w:sz w:val="21"/>
                <w:szCs w:val="21"/>
              </w:rPr>
              <w:t>）及报价管理</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《做市商指引》</w:t>
            </w:r>
          </w:p>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18</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最大买卖价差的设置、监控和预警功能</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《做市商指引》</w:t>
            </w:r>
          </w:p>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19</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最小报价数量的设置、监控和预警功能</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《做市商指引》</w:t>
            </w:r>
          </w:p>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20</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报价参数管理（支持对不同品种或合约报价张数、价差等参数进行个性化设置）</w:t>
            </w:r>
          </w:p>
        </w:tc>
        <w:tc>
          <w:tcPr>
            <w:tcW w:w="2024" w:type="pct"/>
            <w:gridSpan w:val="2"/>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21</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批量撤单（支持对多个报价合约进行批量报价撤单）</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22</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一键撤单（做市业务端支持对同一标的或多个标的所有合约报价一键撤单）</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23</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做市交易策略管理（支持多种做市策略，支持策略自定义）</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vAlign w:val="center"/>
          </w:tcPr>
          <w:p>
            <w:pPr>
              <w:ind w:firstLine="0" w:firstLineChars="0"/>
              <w:jc w:val="center"/>
              <w:rPr>
                <w:rFonts w:ascii="仿宋" w:hAnsi="仿宋" w:eastAsia="仿宋"/>
                <w:sz w:val="21"/>
                <w:szCs w:val="21"/>
              </w:rPr>
            </w:pPr>
            <w:r>
              <w:rPr>
                <w:rFonts w:hint="eastAsia" w:ascii="仿宋" w:hAnsi="仿宋" w:eastAsia="仿宋"/>
                <w:sz w:val="21"/>
                <w:szCs w:val="21"/>
              </w:rPr>
              <w:t>做市情况报告、监控及预警功能</w:t>
            </w: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24</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报价价差情况报告、监控及预警（支持按标的产生每日、每月报价价差情况报告）</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25</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报价数量情况报告、监控及预警（支持按标的产生每日、每月报价数量情况报告）</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26</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合约覆盖情况（参见指南中的持续报价合约覆盖率）报告、监控及预警</w:t>
            </w:r>
          </w:p>
        </w:tc>
        <w:tc>
          <w:tcPr>
            <w:tcW w:w="2024" w:type="pct"/>
            <w:gridSpan w:val="2"/>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27</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开盘集合竞价参与率情况报告、监控及预警（支持按标的产生每日、每月参与开盘集合竞价情况报告）</w:t>
            </w:r>
          </w:p>
        </w:tc>
        <w:tc>
          <w:tcPr>
            <w:tcW w:w="2024" w:type="pct"/>
            <w:gridSpan w:val="2"/>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28</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盘中熔断集合竞价参与率情况报告、监控及预警（支持按标的产生每日、每月参与盘中集合竞价情况报告）</w:t>
            </w:r>
          </w:p>
        </w:tc>
        <w:tc>
          <w:tcPr>
            <w:tcW w:w="2024" w:type="pct"/>
            <w:gridSpan w:val="2"/>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29</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收盘集合竞价参与率情况报告、监控及预警（支持按标的产生每日、每月参与收盘集合竞价情况报告）</w:t>
            </w:r>
          </w:p>
        </w:tc>
        <w:tc>
          <w:tcPr>
            <w:tcW w:w="2024" w:type="pct"/>
            <w:gridSpan w:val="2"/>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tcBorders>
              <w:bottom w:val="single" w:color="auto" w:sz="4" w:space="0"/>
            </w:tcBorders>
            <w:vAlign w:val="center"/>
          </w:tcPr>
          <w:p>
            <w:pPr>
              <w:ind w:firstLine="0" w:firstLineChars="0"/>
              <w:jc w:val="center"/>
              <w:rPr>
                <w:rFonts w:ascii="仿宋" w:hAnsi="仿宋" w:eastAsia="仿宋"/>
                <w:sz w:val="21"/>
                <w:szCs w:val="21"/>
              </w:rPr>
            </w:pPr>
          </w:p>
        </w:tc>
        <w:tc>
          <w:tcPr>
            <w:tcW w:w="416" w:type="pct"/>
            <w:tcBorders>
              <w:bottom w:val="single" w:color="auto" w:sz="4" w:space="0"/>
            </w:tcBorders>
            <w:vAlign w:val="center"/>
          </w:tcPr>
          <w:p>
            <w:pPr>
              <w:ind w:firstLine="0" w:firstLineChars="0"/>
              <w:jc w:val="center"/>
              <w:rPr>
                <w:rFonts w:ascii="仿宋" w:hAnsi="仿宋" w:eastAsia="仿宋"/>
                <w:sz w:val="21"/>
                <w:szCs w:val="21"/>
              </w:rPr>
            </w:pPr>
            <w:r>
              <w:rPr>
                <w:rFonts w:ascii="仿宋" w:hAnsi="仿宋" w:eastAsia="仿宋"/>
                <w:sz w:val="21"/>
                <w:szCs w:val="21"/>
              </w:rPr>
              <w:t>30</w:t>
            </w:r>
          </w:p>
        </w:tc>
        <w:tc>
          <w:tcPr>
            <w:tcW w:w="1747" w:type="pct"/>
            <w:tcBorders>
              <w:bottom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连续竞价参与率情况报告、监控及预警（支持按标的产生每日、每月连续竞价参与率情况报告）</w:t>
            </w:r>
          </w:p>
        </w:tc>
        <w:tc>
          <w:tcPr>
            <w:tcW w:w="2024" w:type="pct"/>
            <w:gridSpan w:val="2"/>
            <w:tcBorders>
              <w:bottom w:val="single" w:color="auto" w:sz="4" w:space="0"/>
            </w:tcBorders>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E7E6E6" w:themeFill="background2"/>
            <w:vAlign w:val="center"/>
          </w:tcPr>
          <w:p>
            <w:pPr>
              <w:ind w:firstLine="0" w:firstLineChars="0"/>
              <w:jc w:val="center"/>
              <w:rPr>
                <w:rFonts w:ascii="仿宋" w:hAnsi="仿宋" w:eastAsia="仿宋"/>
                <w:b/>
                <w:sz w:val="21"/>
                <w:szCs w:val="21"/>
              </w:rPr>
            </w:pPr>
            <w:r>
              <w:rPr>
                <w:rFonts w:hint="eastAsia" w:ascii="仿宋" w:hAnsi="仿宋" w:eastAsia="仿宋"/>
                <w:b/>
                <w:sz w:val="21"/>
                <w:szCs w:val="21"/>
              </w:rPr>
              <w:t>三、风险管理与控制体系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vAlign w:val="center"/>
          </w:tcPr>
          <w:p>
            <w:pPr>
              <w:ind w:firstLine="0" w:firstLineChars="0"/>
              <w:jc w:val="center"/>
              <w:rPr>
                <w:rFonts w:ascii="仿宋" w:hAnsi="仿宋" w:eastAsia="仿宋"/>
                <w:sz w:val="21"/>
                <w:szCs w:val="21"/>
              </w:rPr>
            </w:pPr>
            <w:r>
              <w:rPr>
                <w:rFonts w:hint="eastAsia" w:ascii="仿宋" w:hAnsi="仿宋" w:eastAsia="仿宋"/>
                <w:sz w:val="21"/>
                <w:szCs w:val="21"/>
              </w:rPr>
              <w:t>基本风险管理与处置</w:t>
            </w: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31</w:t>
            </w:r>
          </w:p>
        </w:tc>
        <w:tc>
          <w:tcPr>
            <w:tcW w:w="1829"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维持保证金监控：对维持保证金比例进行实时盯盘，对维持保证金比例低于一定区间进行监控及预警</w:t>
            </w:r>
          </w:p>
        </w:tc>
        <w:tc>
          <w:tcPr>
            <w:tcW w:w="1942" w:type="pct"/>
          </w:tcPr>
          <w:p>
            <w:pPr>
              <w:ind w:firstLine="0" w:firstLineChars="0"/>
              <w:rPr>
                <w:rFonts w:ascii="仿宋" w:hAnsi="仿宋" w:eastAsia="仿宋"/>
                <w:sz w:val="21"/>
                <w:szCs w:val="21"/>
              </w:rPr>
            </w:pPr>
            <w:r>
              <w:rPr>
                <w:rFonts w:hint="eastAsia" w:ascii="仿宋" w:hAnsi="仿宋" w:eastAsia="仿宋"/>
                <w:sz w:val="21"/>
                <w:szCs w:val="21"/>
              </w:rPr>
              <w:t>《深圳证券交易所</w:t>
            </w:r>
            <w:r>
              <w:rPr>
                <w:rFonts w:ascii="仿宋" w:hAnsi="仿宋" w:eastAsia="仿宋"/>
                <w:sz w:val="21"/>
                <w:szCs w:val="21"/>
              </w:rPr>
              <w:t xml:space="preserve"> </w:t>
            </w:r>
            <w:r>
              <w:rPr>
                <w:rFonts w:hint="eastAsia" w:ascii="仿宋" w:hAnsi="仿宋" w:eastAsia="仿宋"/>
                <w:sz w:val="21"/>
                <w:szCs w:val="21"/>
              </w:rPr>
              <w:t>中国证券登记结算有限责任公司股票期权试点风险控制管理办法》（以下简称风控管理办法）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32</w:t>
            </w:r>
          </w:p>
        </w:tc>
        <w:tc>
          <w:tcPr>
            <w:tcW w:w="1829"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占用保证金监控：占用保证金及可用保证金余额日间实时监控及预警</w:t>
            </w:r>
          </w:p>
        </w:tc>
        <w:tc>
          <w:tcPr>
            <w:tcW w:w="1942" w:type="pct"/>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《风控管理办法》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33</w:t>
            </w:r>
          </w:p>
        </w:tc>
        <w:tc>
          <w:tcPr>
            <w:tcW w:w="1829"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持仓超限监控</w:t>
            </w:r>
            <w:r>
              <w:rPr>
                <w:rFonts w:ascii="仿宋" w:hAnsi="仿宋" w:eastAsia="仿宋"/>
                <w:sz w:val="21"/>
                <w:szCs w:val="21"/>
              </w:rPr>
              <w:t>:</w:t>
            </w:r>
            <w:r>
              <w:rPr>
                <w:rFonts w:hint="eastAsia" w:ascii="仿宋" w:hAnsi="仿宋" w:eastAsia="仿宋"/>
                <w:sz w:val="21"/>
                <w:szCs w:val="21"/>
              </w:rPr>
              <w:t>包括所有标的所有合约总持仓和单标的单方向持仓及预警</w:t>
            </w:r>
          </w:p>
        </w:tc>
        <w:tc>
          <w:tcPr>
            <w:tcW w:w="1942" w:type="pct"/>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《风控管理办法》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34</w:t>
            </w:r>
          </w:p>
        </w:tc>
        <w:tc>
          <w:tcPr>
            <w:tcW w:w="1829"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可投资标的监控：对做市商业务允许开仓的标的合约进行监控及预警</w:t>
            </w:r>
          </w:p>
        </w:tc>
        <w:tc>
          <w:tcPr>
            <w:tcW w:w="1942" w:type="pct"/>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《风控管理办法》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35</w:t>
            </w:r>
          </w:p>
        </w:tc>
        <w:tc>
          <w:tcPr>
            <w:tcW w:w="1829"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合约到期监控：对临近到期日的期权合约进行监控及提示</w:t>
            </w:r>
          </w:p>
        </w:tc>
        <w:tc>
          <w:tcPr>
            <w:tcW w:w="1942" w:type="pct"/>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《风控管理办法》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36</w:t>
            </w:r>
          </w:p>
        </w:tc>
        <w:tc>
          <w:tcPr>
            <w:tcW w:w="1829"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期权到期义务方监控：对于快到期的期权合约，验证被行权义务方资金或标的券是否足额及提示</w:t>
            </w:r>
          </w:p>
        </w:tc>
        <w:tc>
          <w:tcPr>
            <w:tcW w:w="1942" w:type="pct"/>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《风控管理办法》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37</w:t>
            </w:r>
          </w:p>
        </w:tc>
        <w:tc>
          <w:tcPr>
            <w:tcW w:w="1829"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备兑开仓标的除权除息监控：监控备兑开仓标的因除权除息导致不足时是否有预警提示</w:t>
            </w:r>
          </w:p>
        </w:tc>
        <w:tc>
          <w:tcPr>
            <w:tcW w:w="1942" w:type="pct"/>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《风控管理办法》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38</w:t>
            </w:r>
          </w:p>
        </w:tc>
        <w:tc>
          <w:tcPr>
            <w:tcW w:w="1829"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支持强平监控及后处理：根据中国结算发送的平仓通知书对次日做市商账户平仓情况进行监控，并对强平结果做出回应</w:t>
            </w:r>
          </w:p>
        </w:tc>
        <w:tc>
          <w:tcPr>
            <w:tcW w:w="1942" w:type="pct"/>
          </w:tcPr>
          <w:p>
            <w:pPr>
              <w:ind w:firstLine="0" w:firstLineChars="0"/>
              <w:rPr>
                <w:rFonts w:ascii="仿宋" w:hAnsi="仿宋" w:eastAsia="仿宋"/>
                <w:sz w:val="21"/>
                <w:szCs w:val="21"/>
              </w:rPr>
            </w:pPr>
          </w:p>
          <w:p>
            <w:pPr>
              <w:ind w:firstLine="0" w:firstLineChars="0"/>
              <w:rPr>
                <w:rFonts w:ascii="仿宋" w:hAnsi="仿宋" w:eastAsia="仿宋"/>
                <w:sz w:val="21"/>
                <w:szCs w:val="21"/>
              </w:rPr>
            </w:pPr>
            <w:r>
              <w:rPr>
                <w:rFonts w:hint="eastAsia" w:ascii="仿宋" w:hAnsi="仿宋" w:eastAsia="仿宋"/>
                <w:sz w:val="21"/>
                <w:szCs w:val="21"/>
              </w:rPr>
              <w:t>《风控管理办法》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vAlign w:val="center"/>
          </w:tcPr>
          <w:p>
            <w:pPr>
              <w:ind w:firstLine="0" w:firstLineChars="0"/>
              <w:jc w:val="center"/>
              <w:rPr>
                <w:rFonts w:ascii="仿宋" w:hAnsi="仿宋" w:eastAsia="仿宋"/>
                <w:sz w:val="21"/>
                <w:szCs w:val="21"/>
              </w:rPr>
            </w:pPr>
            <w:r>
              <w:rPr>
                <w:rFonts w:hint="eastAsia" w:ascii="仿宋" w:hAnsi="仿宋" w:eastAsia="仿宋"/>
                <w:sz w:val="21"/>
                <w:szCs w:val="21"/>
              </w:rPr>
              <w:t>做市风险管理与处置</w:t>
            </w: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39</w:t>
            </w:r>
          </w:p>
        </w:tc>
        <w:tc>
          <w:tcPr>
            <w:tcW w:w="1829" w:type="pct"/>
            <w:gridSpan w:val="2"/>
            <w:vAlign w:val="center"/>
          </w:tcPr>
          <w:p>
            <w:pPr>
              <w:ind w:firstLine="0" w:firstLineChars="0"/>
              <w:rPr>
                <w:rFonts w:ascii="仿宋" w:hAnsi="仿宋" w:eastAsia="仿宋"/>
                <w:sz w:val="21"/>
                <w:szCs w:val="21"/>
              </w:rPr>
            </w:pPr>
            <w:r>
              <w:rPr>
                <w:rFonts w:ascii="仿宋" w:hAnsi="仿宋" w:eastAsia="仿宋"/>
                <w:sz w:val="21"/>
                <w:szCs w:val="21"/>
              </w:rPr>
              <w:t>Greeks:</w:t>
            </w:r>
            <w:r>
              <w:rPr>
                <w:rFonts w:hint="eastAsia" w:ascii="仿宋" w:hAnsi="仿宋" w:eastAsia="仿宋"/>
                <w:sz w:val="21"/>
                <w:szCs w:val="21"/>
              </w:rPr>
              <w:t>支持单个合约、单个品种及总体持仓</w:t>
            </w:r>
            <w:r>
              <w:rPr>
                <w:rFonts w:ascii="仿宋" w:hAnsi="仿宋" w:eastAsia="仿宋"/>
                <w:sz w:val="21"/>
                <w:szCs w:val="21"/>
              </w:rPr>
              <w:t>Greeks</w:t>
            </w:r>
            <w:r>
              <w:rPr>
                <w:rFonts w:hint="eastAsia" w:ascii="仿宋" w:hAnsi="仿宋" w:eastAsia="仿宋"/>
                <w:sz w:val="21"/>
                <w:szCs w:val="21"/>
              </w:rPr>
              <w:t>计算及预警</w:t>
            </w:r>
          </w:p>
        </w:tc>
        <w:tc>
          <w:tcPr>
            <w:tcW w:w="1942" w:type="pct"/>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40</w:t>
            </w:r>
          </w:p>
        </w:tc>
        <w:tc>
          <w:tcPr>
            <w:tcW w:w="1829" w:type="pct"/>
            <w:gridSpan w:val="2"/>
            <w:vAlign w:val="center"/>
          </w:tcPr>
          <w:p>
            <w:pPr>
              <w:ind w:firstLine="0" w:firstLineChars="0"/>
              <w:rPr>
                <w:rFonts w:ascii="仿宋" w:hAnsi="仿宋" w:eastAsia="仿宋"/>
                <w:sz w:val="21"/>
                <w:szCs w:val="21"/>
              </w:rPr>
            </w:pPr>
            <w:r>
              <w:rPr>
                <w:rFonts w:ascii="仿宋" w:hAnsi="仿宋" w:eastAsia="仿宋"/>
                <w:sz w:val="21"/>
                <w:szCs w:val="21"/>
              </w:rPr>
              <w:t>PnL:</w:t>
            </w:r>
            <w:r>
              <w:rPr>
                <w:rFonts w:hint="eastAsia" w:ascii="仿宋" w:hAnsi="仿宋" w:eastAsia="仿宋"/>
                <w:sz w:val="21"/>
                <w:szCs w:val="21"/>
              </w:rPr>
              <w:t>支持计算实时盈亏，并可根据预设阀值预警</w:t>
            </w:r>
          </w:p>
        </w:tc>
        <w:tc>
          <w:tcPr>
            <w:tcW w:w="1942" w:type="pct"/>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41</w:t>
            </w:r>
          </w:p>
        </w:tc>
        <w:tc>
          <w:tcPr>
            <w:tcW w:w="1829"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针对大头针风险（</w:t>
            </w:r>
            <w:r>
              <w:rPr>
                <w:rFonts w:ascii="仿宋" w:hAnsi="仿宋" w:eastAsia="仿宋"/>
                <w:sz w:val="21"/>
                <w:szCs w:val="21"/>
              </w:rPr>
              <w:t>Pin risk</w:t>
            </w:r>
            <w:r>
              <w:rPr>
                <w:rFonts w:hint="eastAsia" w:ascii="仿宋" w:hAnsi="仿宋" w:eastAsia="仿宋"/>
                <w:sz w:val="21"/>
                <w:szCs w:val="21"/>
              </w:rPr>
              <w:t>）的管理</w:t>
            </w:r>
          </w:p>
        </w:tc>
        <w:tc>
          <w:tcPr>
            <w:tcW w:w="1942" w:type="pct"/>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42</w:t>
            </w:r>
          </w:p>
        </w:tc>
        <w:tc>
          <w:tcPr>
            <w:tcW w:w="1829"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波动率曲线的管理</w:t>
            </w:r>
          </w:p>
        </w:tc>
        <w:tc>
          <w:tcPr>
            <w:tcW w:w="1942" w:type="pct"/>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43</w:t>
            </w:r>
          </w:p>
        </w:tc>
        <w:tc>
          <w:tcPr>
            <w:tcW w:w="1829"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做市商每秒申报单数预警</w:t>
            </w:r>
          </w:p>
        </w:tc>
        <w:tc>
          <w:tcPr>
            <w:tcW w:w="1942" w:type="pct"/>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tcBorders>
              <w:bottom w:val="single" w:color="auto" w:sz="4" w:space="0"/>
            </w:tcBorders>
            <w:vAlign w:val="center"/>
          </w:tcPr>
          <w:p>
            <w:pPr>
              <w:ind w:firstLine="0" w:firstLineChars="0"/>
              <w:jc w:val="center"/>
              <w:rPr>
                <w:rFonts w:ascii="仿宋" w:hAnsi="仿宋" w:eastAsia="仿宋"/>
                <w:sz w:val="21"/>
                <w:szCs w:val="21"/>
              </w:rPr>
            </w:pPr>
          </w:p>
        </w:tc>
        <w:tc>
          <w:tcPr>
            <w:tcW w:w="416" w:type="pct"/>
            <w:tcBorders>
              <w:bottom w:val="single" w:color="auto" w:sz="4" w:space="0"/>
            </w:tcBorders>
            <w:vAlign w:val="center"/>
          </w:tcPr>
          <w:p>
            <w:pPr>
              <w:ind w:firstLine="0" w:firstLineChars="0"/>
              <w:jc w:val="center"/>
              <w:rPr>
                <w:rFonts w:ascii="仿宋" w:hAnsi="仿宋" w:eastAsia="仿宋"/>
                <w:sz w:val="21"/>
                <w:szCs w:val="21"/>
              </w:rPr>
            </w:pPr>
            <w:r>
              <w:rPr>
                <w:rFonts w:ascii="仿宋" w:hAnsi="仿宋" w:eastAsia="仿宋"/>
                <w:sz w:val="21"/>
                <w:szCs w:val="21"/>
              </w:rPr>
              <w:t>44</w:t>
            </w:r>
          </w:p>
        </w:tc>
        <w:tc>
          <w:tcPr>
            <w:tcW w:w="1829" w:type="pct"/>
            <w:gridSpan w:val="2"/>
            <w:tcBorders>
              <w:bottom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极端情况预警及处理（错单或者意外大单的发现及处理）</w:t>
            </w:r>
          </w:p>
        </w:tc>
        <w:tc>
          <w:tcPr>
            <w:tcW w:w="1942" w:type="pct"/>
            <w:tcBorders>
              <w:bottom w:val="single" w:color="auto" w:sz="4" w:space="0"/>
            </w:tcBorders>
          </w:tcPr>
          <w:p>
            <w:pPr>
              <w:ind w:firstLine="0" w:firstLineChars="0"/>
              <w:rPr>
                <w:rFonts w:ascii="仿宋" w:hAnsi="仿宋" w:eastAsia="仿宋"/>
                <w:sz w:val="21"/>
                <w:szCs w:val="21"/>
              </w:rPr>
            </w:pPr>
            <w:r>
              <w:rPr>
                <w:rFonts w:hint="eastAsia" w:ascii="仿宋" w:hAnsi="仿宋" w:eastAsia="仿宋"/>
                <w:sz w:val="21"/>
                <w:szCs w:val="21"/>
              </w:rPr>
              <w:t>《做市商指南》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E7E6E6" w:themeFill="background2"/>
            <w:vAlign w:val="center"/>
          </w:tcPr>
          <w:p>
            <w:pPr>
              <w:ind w:firstLine="0" w:firstLineChars="0"/>
              <w:jc w:val="center"/>
              <w:rPr>
                <w:rFonts w:ascii="仿宋" w:hAnsi="仿宋" w:eastAsia="仿宋"/>
                <w:b/>
                <w:sz w:val="21"/>
                <w:szCs w:val="21"/>
              </w:rPr>
            </w:pPr>
            <w:r>
              <w:rPr>
                <w:rFonts w:hint="eastAsia" w:ascii="仿宋" w:hAnsi="仿宋" w:eastAsia="仿宋"/>
                <w:b/>
                <w:sz w:val="21"/>
                <w:szCs w:val="21"/>
              </w:rPr>
              <w:t>四、技术系统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restart"/>
            <w:vAlign w:val="center"/>
          </w:tcPr>
          <w:p>
            <w:pPr>
              <w:ind w:firstLine="0" w:firstLineChars="0"/>
              <w:jc w:val="center"/>
              <w:rPr>
                <w:rFonts w:ascii="仿宋" w:hAnsi="仿宋" w:eastAsia="仿宋"/>
                <w:sz w:val="21"/>
                <w:szCs w:val="21"/>
              </w:rPr>
            </w:pPr>
            <w:r>
              <w:rPr>
                <w:rFonts w:hint="eastAsia" w:ascii="仿宋" w:hAnsi="仿宋" w:eastAsia="仿宋"/>
                <w:sz w:val="21"/>
                <w:szCs w:val="21"/>
              </w:rPr>
              <w:t>技术系统</w:t>
            </w: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42</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系统建设方案（包括系统建设目标、设计原则、系统架构图、各功能模块说明、系统接口、建设计划等）</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《计算机软件文档编制规范》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43</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系统交付物（包括需求规格说明书、技术方案、程序清单、用户手册等）</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《计算机软件文档编制规范》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44</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系统配置和部署情况（包括硬件、软件、网络及备份情况等）</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《证券公司信息技术管理规范》《证券期货业信息系统运维管理规范》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45</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测试案例及报告（包括功能测试、压力测试等）</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《证券期货行业信息系统运维管理规范》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46</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运维团队情况（包括人员配备、培训、备岗等）</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《证券公司信息技术管理规范》《证券期货业信息系统安全等级保护基本要求》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vMerge w:val="continue"/>
            <w:vAlign w:val="center"/>
          </w:tcPr>
          <w:p>
            <w:pPr>
              <w:ind w:firstLine="0" w:firstLineChars="0"/>
              <w:jc w:val="center"/>
              <w:rPr>
                <w:rFonts w:ascii="仿宋" w:hAnsi="仿宋" w:eastAsia="仿宋"/>
                <w:sz w:val="21"/>
                <w:szCs w:val="21"/>
              </w:rPr>
            </w:pPr>
          </w:p>
        </w:tc>
        <w:tc>
          <w:tcPr>
            <w:tcW w:w="416" w:type="pct"/>
            <w:vAlign w:val="center"/>
          </w:tcPr>
          <w:p>
            <w:pPr>
              <w:ind w:firstLine="0" w:firstLineChars="0"/>
              <w:jc w:val="center"/>
              <w:rPr>
                <w:rFonts w:ascii="仿宋" w:hAnsi="仿宋" w:eastAsia="仿宋"/>
                <w:sz w:val="21"/>
                <w:szCs w:val="21"/>
              </w:rPr>
            </w:pPr>
            <w:r>
              <w:rPr>
                <w:rFonts w:ascii="仿宋" w:hAnsi="仿宋" w:eastAsia="仿宋"/>
                <w:sz w:val="21"/>
                <w:szCs w:val="21"/>
              </w:rPr>
              <w:t>47</w:t>
            </w:r>
          </w:p>
        </w:tc>
        <w:tc>
          <w:tcPr>
            <w:tcW w:w="1747" w:type="pct"/>
            <w:vAlign w:val="center"/>
          </w:tcPr>
          <w:p>
            <w:pPr>
              <w:ind w:firstLine="0" w:firstLineChars="0"/>
              <w:rPr>
                <w:rFonts w:ascii="仿宋" w:hAnsi="仿宋" w:eastAsia="仿宋"/>
                <w:sz w:val="21"/>
                <w:szCs w:val="21"/>
              </w:rPr>
            </w:pPr>
            <w:r>
              <w:rPr>
                <w:rFonts w:hint="eastAsia" w:ascii="仿宋" w:hAnsi="仿宋" w:eastAsia="仿宋"/>
                <w:sz w:val="21"/>
                <w:szCs w:val="21"/>
              </w:rPr>
              <w:t>运维流程情况（包括操作、变更、升级、故障处理、应急预案、备份恢复、运行监控等）</w:t>
            </w:r>
          </w:p>
        </w:tc>
        <w:tc>
          <w:tcPr>
            <w:tcW w:w="2024" w:type="pct"/>
            <w:gridSpan w:val="2"/>
            <w:vAlign w:val="center"/>
          </w:tcPr>
          <w:p>
            <w:pPr>
              <w:ind w:firstLine="0" w:firstLineChars="0"/>
              <w:rPr>
                <w:rFonts w:ascii="仿宋" w:hAnsi="仿宋" w:eastAsia="仿宋"/>
                <w:sz w:val="21"/>
                <w:szCs w:val="21"/>
              </w:rPr>
            </w:pPr>
            <w:r>
              <w:rPr>
                <w:rFonts w:hint="eastAsia" w:ascii="仿宋" w:hAnsi="仿宋" w:eastAsia="仿宋"/>
                <w:sz w:val="21"/>
                <w:szCs w:val="21"/>
              </w:rPr>
              <w:t>《证券公司信息技术管理规范》《证券期货业信息系统安全等级保护基本要求》</w:t>
            </w:r>
          </w:p>
        </w:tc>
      </w:tr>
    </w:tbl>
    <w:p>
      <w:pPr>
        <w:widowControl/>
        <w:ind w:firstLine="0" w:firstLineChars="0"/>
        <w:jc w:val="left"/>
        <w:rPr>
          <w:rFonts w:ascii="仿宋" w:hAnsi="仿宋" w:eastAsia="仿宋"/>
          <w:bCs/>
          <w:sz w:val="32"/>
        </w:rPr>
      </w:pPr>
      <w:r>
        <w:rPr>
          <w:rFonts w:ascii="仿宋" w:hAnsi="仿宋" w:eastAsia="仿宋"/>
          <w:bCs/>
          <w:sz w:val="32"/>
        </w:rPr>
        <w:br w:type="page"/>
      </w:r>
    </w:p>
    <w:p>
      <w:pPr>
        <w:pStyle w:val="3"/>
        <w:adjustRightInd w:val="0"/>
        <w:snapToGrid w:val="0"/>
        <w:spacing w:after="204" w:afterLines="50"/>
        <w:ind w:firstLine="0" w:firstLineChars="0"/>
        <w:outlineLvl w:val="0"/>
        <w:rPr>
          <w:rFonts w:ascii="仿宋" w:hAnsi="仿宋" w:eastAsia="仿宋"/>
          <w:bCs/>
          <w:sz w:val="32"/>
        </w:rPr>
      </w:pPr>
      <w:bookmarkStart w:id="143" w:name="_Toc67332334"/>
      <w:bookmarkStart w:id="144" w:name="_Toc9750"/>
      <w:bookmarkStart w:id="145" w:name="_Toc28051"/>
      <w:r>
        <w:rPr>
          <w:rFonts w:hint="eastAsia" w:ascii="黑体" w:hAnsi="黑体" w:eastAsia="黑体"/>
          <w:bCs/>
          <w:sz w:val="32"/>
        </w:rPr>
        <w:t>附件2</w:t>
      </w:r>
      <w:r>
        <w:rPr>
          <w:rFonts w:hint="eastAsia" w:ascii="仿宋" w:hAnsi="仿宋" w:eastAsia="仿宋"/>
          <w:bCs/>
          <w:sz w:val="32"/>
        </w:rPr>
        <w:t>：做市业务实施方案与管理制度必备参考要点</w:t>
      </w:r>
      <w:bookmarkEnd w:id="143"/>
      <w:bookmarkEnd w:id="144"/>
      <w:bookmarkEnd w:id="145"/>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120"/>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ind w:firstLine="0" w:firstLineChars="0"/>
              <w:jc w:val="center"/>
              <w:rPr>
                <w:rFonts w:ascii="仿宋" w:hAnsi="仿宋" w:eastAsia="仿宋"/>
                <w:sz w:val="21"/>
                <w:szCs w:val="21"/>
              </w:rPr>
            </w:pPr>
          </w:p>
        </w:tc>
        <w:tc>
          <w:tcPr>
            <w:tcW w:w="3120" w:type="dxa"/>
          </w:tcPr>
          <w:p>
            <w:pPr>
              <w:ind w:firstLine="0" w:firstLineChars="0"/>
              <w:jc w:val="center"/>
              <w:rPr>
                <w:rFonts w:ascii="仿宋" w:hAnsi="仿宋" w:eastAsia="仿宋"/>
                <w:b/>
                <w:sz w:val="21"/>
                <w:szCs w:val="21"/>
              </w:rPr>
            </w:pPr>
            <w:r>
              <w:rPr>
                <w:rFonts w:hint="eastAsia" w:ascii="仿宋" w:hAnsi="仿宋" w:eastAsia="仿宋"/>
                <w:b/>
                <w:sz w:val="21"/>
                <w:szCs w:val="21"/>
              </w:rPr>
              <w:t>必备章节</w:t>
            </w:r>
          </w:p>
        </w:tc>
        <w:tc>
          <w:tcPr>
            <w:tcW w:w="4586" w:type="dxa"/>
          </w:tcPr>
          <w:p>
            <w:pPr>
              <w:ind w:firstLine="0" w:firstLineChars="0"/>
              <w:jc w:val="center"/>
              <w:rPr>
                <w:rFonts w:ascii="仿宋" w:hAnsi="仿宋" w:eastAsia="仿宋"/>
                <w:b/>
                <w:sz w:val="21"/>
                <w:szCs w:val="21"/>
              </w:rPr>
            </w:pPr>
            <w:r>
              <w:rPr>
                <w:rFonts w:hint="eastAsia" w:ascii="仿宋" w:hAnsi="仿宋" w:eastAsia="仿宋"/>
                <w:b/>
                <w:sz w:val="21"/>
                <w:szCs w:val="21"/>
              </w:rPr>
              <w:t>必备内容参考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ind w:firstLine="0" w:firstLineChars="0"/>
              <w:jc w:val="center"/>
              <w:rPr>
                <w:rFonts w:ascii="仿宋" w:hAnsi="仿宋" w:eastAsia="仿宋"/>
                <w:b/>
                <w:sz w:val="21"/>
                <w:szCs w:val="21"/>
              </w:rPr>
            </w:pPr>
            <w:r>
              <w:rPr>
                <w:rFonts w:hint="eastAsia" w:ascii="仿宋" w:hAnsi="仿宋" w:eastAsia="仿宋"/>
                <w:b/>
                <w:sz w:val="21"/>
                <w:szCs w:val="21"/>
              </w:rPr>
              <w:t>股票期权做市业务实施方案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1</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做市业务总体设想</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涵盖投入股票期权做市业务的资金规模及用途、投入人员及详细情况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2</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做市策略</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涵盖定价模型、不同情况下的报价策略、对冲策略、存货管理策略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3</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做市系统的基本功能</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涵盖做市策略交易、合约管理、订单管理、报价参数管理、报价模型管理、批量撤单、前端控制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4</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做市报价价差与参与率管理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涵盖报价差、报价数量、合约覆盖情况，连续竞价、开盘、收盘、盘中熔断、涨跌停情况下的参与情况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5</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数据管理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涵盖做市数据库所包括的数据内容、访问权限管理等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6</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做市策略预期评价结果及盈亏测算</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涵盖每日按合约、按标的测算做市评价预期结果等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ind w:firstLine="0" w:firstLineChars="0"/>
              <w:jc w:val="center"/>
              <w:rPr>
                <w:rFonts w:ascii="仿宋" w:hAnsi="仿宋" w:eastAsia="仿宋"/>
                <w:b/>
                <w:sz w:val="21"/>
                <w:szCs w:val="21"/>
              </w:rPr>
            </w:pPr>
            <w:r>
              <w:rPr>
                <w:rFonts w:hint="eastAsia" w:ascii="仿宋" w:hAnsi="仿宋" w:eastAsia="仿宋"/>
                <w:b/>
                <w:sz w:val="21"/>
                <w:szCs w:val="21"/>
              </w:rPr>
              <w:t>内部管理制度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1</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业务运行管理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涵盖做市业务运行管理各要素等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2</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合规与内部控制</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涵盖授权管理机制、投资决策流程和业务隔离机制等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3</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公司对做市业务的监督管理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涵盖公司层面对做市业务的监管措施等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4</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额度管理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涵盖公司内部对做市持仓限额申请流程等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5</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责任人及其职责管理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涵盖做市业务相关部门、岗位人员及其职责管理等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ind w:firstLine="0" w:firstLineChars="0"/>
              <w:jc w:val="center"/>
              <w:rPr>
                <w:rFonts w:ascii="仿宋" w:hAnsi="仿宋" w:eastAsia="仿宋"/>
                <w:b/>
                <w:sz w:val="21"/>
                <w:szCs w:val="21"/>
              </w:rPr>
            </w:pPr>
            <w:r>
              <w:rPr>
                <w:rFonts w:hint="eastAsia" w:ascii="仿宋" w:hAnsi="仿宋" w:eastAsia="仿宋"/>
                <w:b/>
                <w:sz w:val="21"/>
                <w:szCs w:val="21"/>
              </w:rPr>
              <w:t>风险控制制度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1</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公司层面与部门层面风控的独立性</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公司层面的风控措施和部门层面的风控措施，两者每日定期核对机制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2</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保证金管理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涵盖保证金监控、强行平仓管理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3</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市场风险管理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涵盖希腊值管理，波动率曲线（面），隔夜风险管理，市场大幅波动的管理等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4</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合约到期及行权风险管理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涵盖快到期头寸管理，大头针风险管理，行权违约风险管理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5</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操作风险管理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涵盖持仓、交易和风险敞口的限额，合理性检查，前端控制，授权，可投资标的等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6</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模型风险管理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涵盖模型失效下的应对等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7</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流动性风险管理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涵盖流动性风险的应对方式等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8</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预警设置</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涵盖持仓限额、每秒申报单数等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9</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盈亏管理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涵盖日间与日终的盈亏计算等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10</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技术风险管理</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涵盖技术系统风险种类、处理方式等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11</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压力测试及报告</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在不同场景下的保证金、收益及报价情况的压力测试，含极端市场情况，极端场景须详述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ind w:firstLine="0" w:firstLineChars="0"/>
              <w:jc w:val="center"/>
              <w:rPr>
                <w:rFonts w:ascii="仿宋" w:hAnsi="仿宋" w:eastAsia="仿宋"/>
                <w:b/>
                <w:sz w:val="21"/>
                <w:szCs w:val="21"/>
              </w:rPr>
            </w:pPr>
            <w:r>
              <w:rPr>
                <w:rFonts w:hint="eastAsia" w:ascii="仿宋" w:hAnsi="仿宋" w:eastAsia="仿宋"/>
                <w:b/>
                <w:sz w:val="21"/>
                <w:szCs w:val="21"/>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1</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突发事件情形与分类</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涵盖突发事件的情形、分类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2</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预警及响应机制</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涵盖预警机制、响应机制及流程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firstLine="0" w:firstLineChars="0"/>
              <w:jc w:val="center"/>
              <w:rPr>
                <w:rFonts w:ascii="仿宋" w:hAnsi="仿宋" w:eastAsia="仿宋"/>
                <w:sz w:val="21"/>
                <w:szCs w:val="21"/>
              </w:rPr>
            </w:pPr>
            <w:r>
              <w:rPr>
                <w:rFonts w:ascii="仿宋" w:hAnsi="仿宋" w:eastAsia="仿宋"/>
                <w:sz w:val="21"/>
                <w:szCs w:val="21"/>
              </w:rPr>
              <w:t>3</w:t>
            </w:r>
          </w:p>
        </w:tc>
        <w:tc>
          <w:tcPr>
            <w:tcW w:w="3120" w:type="dxa"/>
            <w:vAlign w:val="center"/>
          </w:tcPr>
          <w:p>
            <w:pPr>
              <w:ind w:firstLine="0" w:firstLineChars="0"/>
              <w:rPr>
                <w:rFonts w:ascii="仿宋" w:hAnsi="仿宋" w:eastAsia="仿宋"/>
                <w:sz w:val="21"/>
                <w:szCs w:val="21"/>
              </w:rPr>
            </w:pPr>
            <w:r>
              <w:rPr>
                <w:rFonts w:hint="eastAsia" w:ascii="仿宋" w:hAnsi="仿宋" w:eastAsia="仿宋"/>
                <w:sz w:val="21"/>
                <w:szCs w:val="21"/>
              </w:rPr>
              <w:t>应急处理方式</w:t>
            </w:r>
          </w:p>
        </w:tc>
        <w:tc>
          <w:tcPr>
            <w:tcW w:w="4586" w:type="dxa"/>
          </w:tcPr>
          <w:p>
            <w:pPr>
              <w:ind w:firstLine="0" w:firstLineChars="0"/>
              <w:rPr>
                <w:rFonts w:ascii="仿宋" w:hAnsi="仿宋" w:eastAsia="仿宋"/>
                <w:sz w:val="21"/>
                <w:szCs w:val="21"/>
              </w:rPr>
            </w:pPr>
            <w:r>
              <w:rPr>
                <w:rFonts w:hint="eastAsia" w:ascii="仿宋" w:hAnsi="仿宋" w:eastAsia="仿宋"/>
                <w:sz w:val="21"/>
                <w:szCs w:val="21"/>
              </w:rPr>
              <w:t>涵盖各类应急处理方式及流程</w:t>
            </w:r>
          </w:p>
        </w:tc>
      </w:tr>
    </w:tbl>
    <w:p>
      <w:pPr>
        <w:spacing w:line="560" w:lineRule="exact"/>
        <w:ind w:firstLine="0" w:firstLineChars="0"/>
        <w:rPr>
          <w:rFonts w:ascii="方正仿宋简体" w:hAnsi="Times New Roman" w:eastAsia="仿宋"/>
          <w:sz w:val="24"/>
          <w:szCs w:val="24"/>
        </w:rPr>
      </w:pPr>
      <w:r>
        <w:rPr>
          <w:rFonts w:hint="eastAsia" w:ascii="方正仿宋简体" w:hAnsi="Times New Roman" w:eastAsia="仿宋"/>
          <w:sz w:val="24"/>
          <w:szCs w:val="24"/>
        </w:rPr>
        <w:t>备注：除上述必备章节和内容外，做市商还应根据做市业务实际需要，制定、明确其他相关制度或预案。</w:t>
      </w:r>
      <w:r>
        <w:rPr>
          <w:rFonts w:ascii="仿宋" w:hAnsi="仿宋"/>
          <w:sz w:val="32"/>
        </w:rPr>
        <w:br w:type="page"/>
      </w:r>
    </w:p>
    <w:p>
      <w:pPr>
        <w:pStyle w:val="3"/>
        <w:adjustRightInd w:val="0"/>
        <w:snapToGrid w:val="0"/>
        <w:spacing w:after="204" w:afterLines="50"/>
        <w:ind w:firstLine="0" w:firstLineChars="0"/>
        <w:outlineLvl w:val="0"/>
        <w:rPr>
          <w:rFonts w:ascii="仿宋" w:hAnsi="仿宋" w:eastAsia="仿宋"/>
          <w:bCs/>
          <w:sz w:val="32"/>
        </w:rPr>
      </w:pPr>
      <w:bookmarkStart w:id="146" w:name="_Toc23397"/>
      <w:bookmarkStart w:id="147" w:name="_Toc67332335"/>
      <w:bookmarkStart w:id="148" w:name="_Toc25815"/>
      <w:r>
        <w:rPr>
          <w:rFonts w:hint="eastAsia" w:ascii="黑体" w:hAnsi="黑体" w:eastAsia="黑体"/>
          <w:bCs/>
          <w:sz w:val="32"/>
        </w:rPr>
        <w:t>附件3</w:t>
      </w:r>
      <w:r>
        <w:rPr>
          <w:rFonts w:hint="eastAsia" w:ascii="仿宋" w:hAnsi="仿宋" w:eastAsia="仿宋"/>
          <w:bCs/>
          <w:sz w:val="32"/>
        </w:rPr>
        <w:t>：做市业务人员情况表</w:t>
      </w:r>
      <w:bookmarkEnd w:id="146"/>
      <w:bookmarkEnd w:id="147"/>
      <w:bookmarkEnd w:id="148"/>
    </w:p>
    <w:tbl>
      <w:tblPr>
        <w:tblStyle w:val="2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83"/>
        <w:gridCol w:w="1275"/>
        <w:gridCol w:w="284"/>
        <w:gridCol w:w="422"/>
        <w:gridCol w:w="1279"/>
        <w:gridCol w:w="138"/>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公司信息</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公司名称</w:t>
            </w:r>
          </w:p>
        </w:tc>
        <w:tc>
          <w:tcPr>
            <w:tcW w:w="4443"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做市资格类型</w:t>
            </w:r>
          </w:p>
        </w:tc>
        <w:tc>
          <w:tcPr>
            <w:tcW w:w="4443" w:type="dxa"/>
            <w:gridSpan w:val="5"/>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做市业务</w:t>
            </w:r>
          </w:p>
          <w:p>
            <w:pPr>
              <w:ind w:firstLine="0" w:firstLineChars="0"/>
              <w:jc w:val="center"/>
              <w:rPr>
                <w:rFonts w:ascii="仿宋" w:hAnsi="仿宋" w:eastAsia="仿宋"/>
                <w:sz w:val="21"/>
                <w:szCs w:val="21"/>
              </w:rPr>
            </w:pPr>
            <w:r>
              <w:rPr>
                <w:rFonts w:hint="eastAsia" w:ascii="仿宋" w:hAnsi="仿宋" w:eastAsia="仿宋"/>
                <w:sz w:val="21"/>
                <w:szCs w:val="21"/>
              </w:rPr>
              <w:t>负责人</w:t>
            </w: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姓名</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部门</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电话</w:t>
            </w:r>
          </w:p>
        </w:tc>
        <w:tc>
          <w:tcPr>
            <w:tcW w:w="1981"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邮件地址</w:t>
            </w:r>
          </w:p>
        </w:tc>
        <w:tc>
          <w:tcPr>
            <w:tcW w:w="232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做市业务</w:t>
            </w:r>
          </w:p>
          <w:p>
            <w:pPr>
              <w:ind w:firstLine="0" w:firstLineChars="0"/>
              <w:jc w:val="center"/>
              <w:rPr>
                <w:rFonts w:ascii="仿宋" w:hAnsi="仿宋" w:eastAsia="仿宋"/>
                <w:sz w:val="21"/>
                <w:szCs w:val="21"/>
              </w:rPr>
            </w:pPr>
            <w:r>
              <w:rPr>
                <w:rFonts w:hint="eastAsia" w:ascii="仿宋" w:hAnsi="仿宋" w:eastAsia="仿宋"/>
                <w:sz w:val="21"/>
                <w:szCs w:val="21"/>
              </w:rPr>
              <w:t>联络人</w:t>
            </w: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姓名</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部门</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电话</w:t>
            </w:r>
          </w:p>
        </w:tc>
        <w:tc>
          <w:tcPr>
            <w:tcW w:w="1981"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邮件地址</w:t>
            </w:r>
          </w:p>
        </w:tc>
        <w:tc>
          <w:tcPr>
            <w:tcW w:w="232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shd w:val="clear" w:color="auto" w:fill="F2F2F2"/>
            <w:vAlign w:val="center"/>
          </w:tcPr>
          <w:p>
            <w:pPr>
              <w:ind w:firstLine="0" w:firstLineChars="0"/>
              <w:jc w:val="center"/>
              <w:rPr>
                <w:rFonts w:ascii="仿宋" w:hAnsi="仿宋" w:eastAsia="仿宋"/>
                <w:b/>
                <w:sz w:val="21"/>
                <w:szCs w:val="21"/>
              </w:rPr>
            </w:pPr>
            <w:r>
              <w:rPr>
                <w:rFonts w:hint="eastAsia" w:ascii="仿宋" w:hAnsi="仿宋" w:eastAsia="仿宋"/>
                <w:b/>
                <w:sz w:val="21"/>
                <w:szCs w:val="21"/>
              </w:rPr>
              <w:t>部门与岗位设置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（部门名称</w:t>
            </w:r>
            <w:r>
              <w:rPr>
                <w:rFonts w:ascii="仿宋" w:hAnsi="仿宋" w:eastAsia="仿宋"/>
                <w:sz w:val="21"/>
                <w:szCs w:val="21"/>
              </w:rPr>
              <w:t>1</w:t>
            </w:r>
            <w:r>
              <w:rPr>
                <w:rFonts w:hint="eastAsia" w:ascii="仿宋" w:hAnsi="仿宋" w:eastAsia="仿宋"/>
                <w:sz w:val="21"/>
                <w:szCs w:val="21"/>
              </w:rPr>
              <w:t>）工作职责包括：</w:t>
            </w:r>
          </w:p>
          <w:p>
            <w:pPr>
              <w:ind w:firstLine="0" w:firstLineChars="0"/>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1</w:t>
            </w: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人员姓名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职责描述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（负责人）</w:t>
            </w: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（座机）</w:t>
            </w:r>
          </w:p>
          <w:p>
            <w:pPr>
              <w:ind w:firstLine="0" w:firstLineChars="0"/>
              <w:rPr>
                <w:rFonts w:ascii="仿宋" w:hAnsi="仿宋" w:eastAsia="仿宋"/>
                <w:sz w:val="21"/>
                <w:szCs w:val="21"/>
              </w:rPr>
            </w:pPr>
            <w:r>
              <w:rPr>
                <w:rFonts w:hint="eastAsia" w:ascii="仿宋" w:hAnsi="仿宋" w:eastAsia="仿宋"/>
                <w:sz w:val="21"/>
                <w:szCs w:val="21"/>
              </w:rPr>
              <w:t>（手机）</w:t>
            </w:r>
          </w:p>
          <w:p>
            <w:pPr>
              <w:ind w:firstLine="0" w:firstLineChars="0"/>
              <w:rPr>
                <w:rFonts w:ascii="仿宋" w:hAnsi="仿宋" w:eastAsia="仿宋"/>
                <w:sz w:val="21"/>
                <w:szCs w:val="21"/>
              </w:rPr>
            </w:pPr>
            <w:r>
              <w:rPr>
                <w:rFonts w:hint="eastAsia" w:ascii="仿宋" w:hAnsi="仿宋" w:eastAsia="仿宋"/>
                <w:sz w:val="21"/>
                <w:szCs w:val="21"/>
              </w:rPr>
              <w:t>（邮件）</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（年份</w:t>
            </w:r>
            <w:r>
              <w:rPr>
                <w:rFonts w:ascii="仿宋" w:hAnsi="仿宋" w:eastAsia="仿宋"/>
                <w:sz w:val="21"/>
                <w:szCs w:val="21"/>
              </w:rPr>
              <w:t>-</w:t>
            </w:r>
            <w:r>
              <w:rPr>
                <w:rFonts w:hint="eastAsia" w:ascii="仿宋" w:hAnsi="仿宋" w:eastAsia="仿宋"/>
                <w:sz w:val="21"/>
                <w:szCs w:val="21"/>
              </w:rPr>
              <w:t>单位</w:t>
            </w:r>
            <w:r>
              <w:rPr>
                <w:rFonts w:ascii="仿宋" w:hAnsi="仿宋" w:eastAsia="仿宋"/>
                <w:sz w:val="21"/>
                <w:szCs w:val="21"/>
              </w:rPr>
              <w:t>-</w:t>
            </w:r>
            <w:r>
              <w:rPr>
                <w:rFonts w:hint="eastAsia" w:ascii="仿宋" w:hAnsi="仿宋" w:eastAsia="仿宋"/>
                <w:sz w:val="21"/>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（部门名称</w:t>
            </w:r>
            <w:r>
              <w:rPr>
                <w:rFonts w:ascii="仿宋" w:hAnsi="仿宋" w:eastAsia="仿宋"/>
                <w:sz w:val="21"/>
                <w:szCs w:val="21"/>
              </w:rPr>
              <w:t>2</w:t>
            </w:r>
            <w:r>
              <w:rPr>
                <w:rFonts w:hint="eastAsia" w:ascii="仿宋" w:hAnsi="仿宋" w:eastAsia="仿宋"/>
                <w:sz w:val="21"/>
                <w:szCs w:val="21"/>
              </w:rPr>
              <w:t>）工作职责包括：</w:t>
            </w:r>
          </w:p>
          <w:p>
            <w:pPr>
              <w:ind w:firstLine="0" w:firstLineChars="0"/>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人员姓名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职责描述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r>
              <w:rPr>
                <w:rFonts w:hint="eastAsia" w:ascii="仿宋" w:hAnsi="仿宋" w:eastAsia="仿宋"/>
                <w:sz w:val="21"/>
                <w:szCs w:val="21"/>
              </w:rPr>
              <w:t>（部门名称</w:t>
            </w:r>
            <w:r>
              <w:rPr>
                <w:rFonts w:ascii="仿宋" w:hAnsi="仿宋" w:eastAsia="仿宋"/>
                <w:sz w:val="21"/>
                <w:szCs w:val="21"/>
              </w:rPr>
              <w:t>3</w:t>
            </w:r>
            <w:r>
              <w:rPr>
                <w:rFonts w:hint="eastAsia" w:ascii="仿宋" w:hAnsi="仿宋" w:eastAsia="仿宋"/>
                <w:sz w:val="21"/>
                <w:szCs w:val="21"/>
              </w:rPr>
              <w:t>）工作职责包括：</w:t>
            </w:r>
          </w:p>
          <w:p>
            <w:pPr>
              <w:ind w:firstLine="0" w:firstLineChars="0"/>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人员姓名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职责描述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 w:hAnsi="仿宋" w:eastAsia="仿宋"/>
                <w:sz w:val="21"/>
                <w:szCs w:val="21"/>
              </w:rPr>
            </w:pPr>
            <w:r>
              <w:rPr>
                <w:rFonts w:hint="eastAsia" w:ascii="仿宋" w:hAnsi="仿宋" w:eastAsia="仿宋"/>
                <w:sz w:val="21"/>
                <w:szCs w:val="21"/>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 w:hAnsi="仿宋" w:eastAsia="仿宋"/>
                <w:sz w:val="21"/>
                <w:szCs w:val="21"/>
              </w:rPr>
            </w:pPr>
          </w:p>
        </w:tc>
      </w:tr>
    </w:tbl>
    <w:p>
      <w:pPr>
        <w:spacing w:line="560" w:lineRule="exact"/>
        <w:ind w:firstLine="0" w:firstLineChars="0"/>
        <w:rPr>
          <w:rFonts w:hint="eastAsia" w:ascii="方正仿宋简体" w:hAnsi="Times New Roman" w:eastAsia="仿宋"/>
          <w:sz w:val="24"/>
          <w:szCs w:val="24"/>
        </w:rPr>
      </w:pPr>
      <w:r>
        <w:rPr>
          <w:rFonts w:hint="eastAsia" w:ascii="方正仿宋简体" w:hAnsi="Times New Roman" w:eastAsia="仿宋"/>
          <w:sz w:val="24"/>
          <w:szCs w:val="24"/>
        </w:rPr>
        <w:t>备注：做市部门负责人、交易岗、风险控制岗必须详细填写工作履历。</w:t>
      </w:r>
    </w:p>
    <w:p>
      <w:pPr>
        <w:spacing w:line="240" w:lineRule="auto"/>
        <w:ind w:firstLine="0" w:firstLineChars="0"/>
        <w:rPr>
          <w:rFonts w:hint="eastAsia" w:ascii="方正仿宋简体" w:hAnsi="Times New Roman" w:eastAsia="仿宋"/>
          <w:sz w:val="24"/>
          <w:szCs w:val="24"/>
        </w:rPr>
      </w:pPr>
      <w:r>
        <w:rPr>
          <w:rFonts w:hint="eastAsia" w:ascii="方正仿宋简体" w:hAnsi="Times New Roman" w:eastAsia="仿宋"/>
          <w:sz w:val="24"/>
          <w:szCs w:val="24"/>
        </w:rPr>
        <w:br w:type="page"/>
      </w:r>
    </w:p>
    <w:p>
      <w:pPr>
        <w:spacing w:line="560" w:lineRule="exact"/>
        <w:ind w:firstLine="0" w:firstLineChars="0"/>
        <w:jc w:val="left"/>
        <w:rPr>
          <w:rFonts w:hint="eastAsia" w:ascii="Times New Roman" w:hAnsi="Times New Roman" w:eastAsia="方正小标宋简体"/>
          <w:b w:val="0"/>
          <w:bCs/>
          <w:sz w:val="32"/>
          <w:szCs w:val="32"/>
          <w:highlight w:val="none"/>
        </w:rPr>
      </w:pPr>
      <w:bookmarkStart w:id="149" w:name="_Toc6457"/>
      <w:bookmarkStart w:id="150" w:name="_Toc23538"/>
      <w:bookmarkStart w:id="151" w:name="_Toc67332336"/>
      <w:r>
        <w:rPr>
          <w:rFonts w:hint="eastAsia" w:ascii="黑体" w:hAnsi="黑体" w:eastAsia="黑体"/>
          <w:bCs/>
          <w:sz w:val="32"/>
          <w:szCs w:val="32"/>
        </w:rPr>
        <w:t>附件4</w:t>
      </w:r>
      <w:r>
        <w:rPr>
          <w:rFonts w:hint="eastAsia" w:ascii="仿宋" w:hAnsi="仿宋" w:eastAsia="仿宋"/>
          <w:bCs/>
          <w:sz w:val="32"/>
          <w:szCs w:val="32"/>
        </w:rPr>
        <w:t>：深圳证券交易所股票期权做市协议</w:t>
      </w:r>
      <w:bookmarkEnd w:id="149"/>
      <w:bookmarkEnd w:id="150"/>
      <w:bookmarkEnd w:id="151"/>
    </w:p>
    <w:p>
      <w:pPr>
        <w:spacing w:line="540" w:lineRule="exact"/>
        <w:ind w:firstLine="640" w:firstLineChars="200"/>
        <w:rPr>
          <w:rFonts w:ascii="仿宋" w:hAnsi="仿宋" w:eastAsia="仿宋"/>
          <w:sz w:val="32"/>
          <w:szCs w:val="32"/>
          <w:highlight w:val="none"/>
        </w:rPr>
      </w:pPr>
    </w:p>
    <w:p>
      <w:pPr>
        <w:spacing w:line="540" w:lineRule="exact"/>
        <w:ind w:firstLine="480"/>
        <w:rPr>
          <w:rFonts w:hint="default" w:ascii="仿宋" w:hAnsi="仿宋" w:eastAsia="仿宋"/>
          <w:sz w:val="32"/>
          <w:szCs w:val="32"/>
          <w:highlight w:val="none"/>
          <w:u w:val="single"/>
        </w:rPr>
      </w:pPr>
      <w:r>
        <w:rPr>
          <w:rFonts w:hint="eastAsia" w:ascii="仿宋" w:hAnsi="仿宋" w:eastAsia="仿宋"/>
          <w:sz w:val="32"/>
          <w:szCs w:val="32"/>
          <w:highlight w:val="none"/>
          <w:u w:val="single"/>
        </w:rPr>
        <w:t>甲方：深圳证券交易所</w:t>
      </w:r>
      <w:r>
        <w:rPr>
          <w:rFonts w:hint="eastAsia" w:ascii="仿宋" w:hAnsi="仿宋" w:eastAsia="仿宋"/>
          <w:sz w:val="32"/>
          <w:szCs w:val="32"/>
          <w:highlight w:val="none"/>
          <w:u w:val="single"/>
          <w:lang w:val="en-US" w:eastAsia="zh-CN"/>
        </w:rPr>
        <w:t xml:space="preserve">       </w:t>
      </w:r>
    </w:p>
    <w:p>
      <w:pPr>
        <w:spacing w:line="540" w:lineRule="exact"/>
        <w:ind w:firstLine="480"/>
        <w:rPr>
          <w:rFonts w:hint="default" w:ascii="仿宋" w:hAnsi="仿宋" w:eastAsia="仿宋"/>
          <w:sz w:val="32"/>
          <w:szCs w:val="32"/>
          <w:highlight w:val="none"/>
          <w:u w:val="single"/>
          <w:lang w:val="en-US" w:eastAsia="zh-CN"/>
        </w:rPr>
      </w:pPr>
      <w:r>
        <w:rPr>
          <w:rFonts w:hint="eastAsia" w:ascii="仿宋" w:hAnsi="仿宋" w:eastAsia="仿宋"/>
          <w:sz w:val="32"/>
          <w:szCs w:val="32"/>
          <w:highlight w:val="none"/>
          <w:u w:val="single"/>
        </w:rPr>
        <w:t>乙方：</w:t>
      </w:r>
      <w:r>
        <w:rPr>
          <w:rFonts w:hint="eastAsia" w:ascii="仿宋" w:hAnsi="仿宋" w:eastAsia="仿宋"/>
          <w:sz w:val="32"/>
          <w:szCs w:val="32"/>
          <w:highlight w:val="none"/>
          <w:u w:val="single"/>
          <w:lang w:val="en-US" w:eastAsia="zh-CN"/>
        </w:rPr>
        <w:t xml:space="preserve">                     </w:t>
      </w:r>
    </w:p>
    <w:p>
      <w:pPr>
        <w:spacing w:line="540" w:lineRule="exact"/>
        <w:ind w:firstLine="0"/>
        <w:rPr>
          <w:rFonts w:ascii="仿宋" w:hAnsi="仿宋" w:eastAsia="仿宋"/>
          <w:sz w:val="32"/>
          <w:szCs w:val="32"/>
          <w:highlight w:val="none"/>
          <w:u w:val="none"/>
        </w:rPr>
      </w:pPr>
      <w:r>
        <w:rPr>
          <w:rFonts w:hint="eastAsia" w:ascii="仿宋" w:hAnsi="仿宋" w:eastAsia="仿宋"/>
          <w:sz w:val="32"/>
          <w:szCs w:val="32"/>
          <w:highlight w:val="none"/>
          <w:u w:val="none"/>
        </w:rPr>
        <w:t>为</w:t>
      </w:r>
      <w:r>
        <w:rPr>
          <w:rFonts w:hint="eastAsia" w:ascii="仿宋" w:hAnsi="仿宋" w:eastAsia="仿宋"/>
          <w:sz w:val="32"/>
          <w:szCs w:val="32"/>
          <w:highlight w:val="none"/>
          <w:u w:val="none"/>
          <w:lang w:eastAsia="zh-CN"/>
        </w:rPr>
        <w:t>了</w:t>
      </w:r>
      <w:r>
        <w:rPr>
          <w:rFonts w:hint="eastAsia" w:ascii="仿宋" w:hAnsi="仿宋" w:eastAsia="仿宋"/>
          <w:sz w:val="32"/>
          <w:szCs w:val="32"/>
          <w:highlight w:val="none"/>
          <w:u w:val="none"/>
        </w:rPr>
        <w:t>明确甲、乙双方在</w:t>
      </w:r>
      <w:r>
        <w:rPr>
          <w:rFonts w:hint="eastAsia" w:ascii="仿宋" w:hAnsi="仿宋" w:eastAsia="仿宋"/>
          <w:sz w:val="32"/>
          <w:szCs w:val="32"/>
          <w:highlight w:val="none"/>
          <w:u w:val="none"/>
          <w:lang w:val="en-US" w:eastAsia="zh-CN"/>
        </w:rPr>
        <w:t>股票</w:t>
      </w:r>
      <w:r>
        <w:rPr>
          <w:rFonts w:hint="eastAsia" w:ascii="仿宋" w:hAnsi="仿宋" w:eastAsia="仿宋"/>
          <w:sz w:val="32"/>
          <w:szCs w:val="32"/>
          <w:highlight w:val="none"/>
          <w:u w:val="none"/>
        </w:rPr>
        <w:t>期权（以下简称期权）做市业务中的权利和义务，甲乙双方在自愿平等、协商一致的基础上订立本协议，并承诺共同遵守。</w:t>
      </w:r>
    </w:p>
    <w:p>
      <w:pPr>
        <w:numPr>
          <w:ilvl w:val="0"/>
          <w:numId w:val="1"/>
        </w:numPr>
        <w:spacing w:line="540" w:lineRule="exact"/>
        <w:ind w:firstLine="0"/>
        <w:rPr>
          <w:rFonts w:hint="eastAsia" w:ascii="仿宋" w:hAnsi="仿宋" w:eastAsia="仿宋"/>
          <w:sz w:val="32"/>
          <w:szCs w:val="32"/>
          <w:highlight w:val="none"/>
          <w:u w:val="none"/>
        </w:rPr>
      </w:pPr>
      <w:r>
        <w:rPr>
          <w:rFonts w:hint="eastAsia" w:ascii="仿宋" w:hAnsi="仿宋" w:eastAsia="仿宋"/>
          <w:sz w:val="32"/>
          <w:szCs w:val="32"/>
          <w:highlight w:val="none"/>
          <w:u w:val="none"/>
        </w:rPr>
        <w:t>经乙方申请和甲方同意，</w:t>
      </w:r>
      <w:r>
        <w:rPr>
          <w:rFonts w:hint="eastAsia" w:ascii="仿宋" w:hAnsi="仿宋" w:eastAsia="仿宋"/>
          <w:sz w:val="32"/>
          <w:szCs w:val="32"/>
          <w:highlight w:val="none"/>
          <w:u w:val="none"/>
          <w:lang w:eastAsia="zh-CN"/>
        </w:rPr>
        <w:t>乙方可以申请成为甲方上市交易的期权合约品种的主做市商或者一般做市商。</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highlight w:val="none"/>
          <w:u w:val="none"/>
        </w:rPr>
      </w:pPr>
      <w:r>
        <w:rPr>
          <w:rFonts w:hint="eastAsia" w:ascii="仿宋" w:hAnsi="仿宋" w:eastAsia="仿宋"/>
          <w:sz w:val="32"/>
          <w:szCs w:val="32"/>
          <w:highlight w:val="none"/>
          <w:u w:val="none"/>
          <w:lang w:eastAsia="zh-CN"/>
        </w:rPr>
        <w:t>乙方应当按照期权合约品种和做市商类型提交做市业务的申请材料。</w:t>
      </w:r>
      <w:r>
        <w:rPr>
          <w:rFonts w:hint="eastAsia" w:ascii="仿宋" w:hAnsi="仿宋" w:eastAsia="仿宋"/>
          <w:sz w:val="32"/>
          <w:szCs w:val="32"/>
          <w:highlight w:val="none"/>
          <w:u w:val="none"/>
        </w:rPr>
        <w:t>乙方承诺，其向甲方提供的做市业务申请材料真实、准确、完整，并自行承担从事做市业务产生的一切成交结果、清算交收义务以及相应法律责任。</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 xml:space="preserve">第二条 </w:t>
      </w:r>
      <w:r>
        <w:rPr>
          <w:rFonts w:hint="eastAsia" w:ascii="仿宋" w:hAnsi="仿宋" w:eastAsia="仿宋"/>
          <w:sz w:val="32"/>
          <w:szCs w:val="32"/>
          <w:highlight w:val="none"/>
          <w:u w:val="none"/>
        </w:rPr>
        <w:t>甲乙双方共同遵守有关法律、行政法规、部门规章、规范性文件（以下统称法律法规）</w:t>
      </w:r>
      <w:r>
        <w:rPr>
          <w:rFonts w:hint="eastAsia" w:ascii="仿宋" w:hAnsi="仿宋" w:eastAsia="仿宋"/>
          <w:sz w:val="32"/>
          <w:szCs w:val="32"/>
          <w:highlight w:val="none"/>
          <w:u w:val="none"/>
          <w:lang w:eastAsia="zh-CN"/>
        </w:rPr>
        <w:t>，</w:t>
      </w:r>
      <w:r>
        <w:rPr>
          <w:rFonts w:hint="eastAsia" w:ascii="仿宋" w:hAnsi="仿宋" w:eastAsia="仿宋"/>
          <w:sz w:val="32"/>
          <w:szCs w:val="32"/>
          <w:highlight w:val="none"/>
          <w:u w:val="none"/>
        </w:rPr>
        <w:t>甲方业务规则</w:t>
      </w:r>
      <w:r>
        <w:rPr>
          <w:rFonts w:hint="eastAsia" w:ascii="仿宋" w:hAnsi="仿宋" w:eastAsia="仿宋"/>
          <w:sz w:val="32"/>
          <w:szCs w:val="32"/>
          <w:highlight w:val="none"/>
          <w:u w:val="none"/>
          <w:lang w:eastAsia="zh-CN"/>
        </w:rPr>
        <w:t>以</w:t>
      </w:r>
      <w:r>
        <w:rPr>
          <w:rFonts w:hint="eastAsia" w:ascii="仿宋" w:hAnsi="仿宋" w:eastAsia="仿宋"/>
          <w:sz w:val="32"/>
          <w:szCs w:val="32"/>
          <w:highlight w:val="none"/>
          <w:u w:val="none"/>
        </w:rPr>
        <w:t>及其他相关规定（以下统称甲方相关规定）。</w:t>
      </w:r>
    </w:p>
    <w:p>
      <w:pPr>
        <w:spacing w:line="540" w:lineRule="exact"/>
        <w:ind w:firstLine="0"/>
        <w:rPr>
          <w:rFonts w:hint="eastAsia" w:ascii="仿宋" w:hAnsi="仿宋" w:eastAsia="仿宋"/>
          <w:sz w:val="32"/>
          <w:szCs w:val="32"/>
          <w:highlight w:val="none"/>
          <w:u w:val="none"/>
          <w:lang w:eastAsia="zh-CN"/>
        </w:rPr>
      </w:pPr>
      <w:r>
        <w:rPr>
          <w:rFonts w:hint="eastAsia" w:ascii="仿宋" w:hAnsi="仿宋" w:eastAsia="仿宋"/>
          <w:b/>
          <w:sz w:val="32"/>
          <w:szCs w:val="32"/>
          <w:highlight w:val="none"/>
          <w:u w:val="none"/>
        </w:rPr>
        <w:t>第三条</w:t>
      </w:r>
      <w:r>
        <w:rPr>
          <w:rFonts w:hint="eastAsia" w:ascii="仿宋" w:hAnsi="仿宋" w:eastAsia="仿宋"/>
          <w:sz w:val="32"/>
          <w:szCs w:val="32"/>
          <w:highlight w:val="none"/>
          <w:u w:val="none"/>
        </w:rPr>
        <w:t xml:space="preserve"> </w:t>
      </w:r>
      <w:r>
        <w:rPr>
          <w:rFonts w:hint="eastAsia" w:ascii="仿宋" w:hAnsi="仿宋" w:eastAsia="仿宋"/>
          <w:sz w:val="32"/>
          <w:szCs w:val="32"/>
          <w:highlight w:val="none"/>
          <w:u w:val="none"/>
          <w:lang w:eastAsia="zh-CN"/>
        </w:rPr>
        <w:t>乙方应当根据甲方相关规定为其提供做市服务的期权合约品种（以下简称做市期权品种）申请</w:t>
      </w:r>
      <w:r>
        <w:rPr>
          <w:rFonts w:hint="eastAsia" w:ascii="仿宋" w:hAnsi="仿宋" w:eastAsia="仿宋"/>
          <w:sz w:val="32"/>
          <w:szCs w:val="32"/>
          <w:highlight w:val="none"/>
          <w:u w:val="none"/>
        </w:rPr>
        <w:t>持仓</w:t>
      </w:r>
      <w:r>
        <w:rPr>
          <w:rFonts w:hint="eastAsia" w:ascii="仿宋" w:hAnsi="仿宋" w:eastAsia="仿宋"/>
          <w:sz w:val="32"/>
          <w:szCs w:val="32"/>
          <w:highlight w:val="none"/>
          <w:u w:val="none"/>
          <w:lang w:eastAsia="zh-CN"/>
        </w:rPr>
        <w:t>限额，经甲方确认后生效。</w:t>
      </w:r>
    </w:p>
    <w:p>
      <w:pPr>
        <w:spacing w:line="540" w:lineRule="exact"/>
        <w:ind w:firstLine="0"/>
        <w:rPr>
          <w:rFonts w:hint="eastAsia" w:ascii="仿宋" w:hAnsi="仿宋" w:eastAsia="仿宋"/>
          <w:sz w:val="32"/>
          <w:szCs w:val="32"/>
          <w:highlight w:val="none"/>
          <w:u w:val="none"/>
        </w:rPr>
      </w:pPr>
      <w:r>
        <w:rPr>
          <w:rFonts w:hint="eastAsia" w:ascii="仿宋" w:hAnsi="仿宋" w:eastAsia="仿宋"/>
          <w:sz w:val="32"/>
          <w:szCs w:val="32"/>
          <w:highlight w:val="none"/>
          <w:u w:val="none"/>
        </w:rPr>
        <w:t>甲方有权根据</w:t>
      </w:r>
      <w:r>
        <w:rPr>
          <w:rFonts w:hint="eastAsia" w:ascii="仿宋" w:hAnsi="仿宋" w:eastAsia="仿宋"/>
          <w:sz w:val="32"/>
          <w:szCs w:val="32"/>
          <w:highlight w:val="none"/>
          <w:u w:val="none"/>
          <w:lang w:eastAsia="zh-CN"/>
        </w:rPr>
        <w:t>甲方相关规定</w:t>
      </w:r>
      <w:r>
        <w:rPr>
          <w:rFonts w:hint="eastAsia" w:ascii="仿宋" w:hAnsi="仿宋" w:eastAsia="仿宋"/>
          <w:sz w:val="32"/>
          <w:szCs w:val="32"/>
          <w:highlight w:val="none"/>
          <w:u w:val="none"/>
        </w:rPr>
        <w:t>或者乙方的书面申请，对乙方</w:t>
      </w:r>
      <w:r>
        <w:rPr>
          <w:rFonts w:hint="eastAsia" w:ascii="仿宋" w:hAnsi="仿宋" w:eastAsia="仿宋"/>
          <w:sz w:val="32"/>
          <w:szCs w:val="32"/>
          <w:highlight w:val="none"/>
          <w:u w:val="none"/>
          <w:lang w:eastAsia="zh-CN"/>
        </w:rPr>
        <w:t>做市</w:t>
      </w:r>
      <w:r>
        <w:rPr>
          <w:rFonts w:hint="eastAsia" w:ascii="仿宋" w:hAnsi="仿宋" w:eastAsia="仿宋"/>
          <w:sz w:val="32"/>
          <w:szCs w:val="32"/>
          <w:highlight w:val="none"/>
          <w:u w:val="none"/>
        </w:rPr>
        <w:t>期权</w:t>
      </w:r>
      <w:r>
        <w:rPr>
          <w:rFonts w:hint="eastAsia" w:ascii="仿宋" w:hAnsi="仿宋" w:eastAsia="仿宋"/>
          <w:sz w:val="32"/>
          <w:szCs w:val="32"/>
          <w:highlight w:val="none"/>
          <w:u w:val="none"/>
          <w:lang w:eastAsia="zh-CN"/>
        </w:rPr>
        <w:t>品种</w:t>
      </w:r>
      <w:r>
        <w:rPr>
          <w:rFonts w:hint="eastAsia" w:ascii="仿宋" w:hAnsi="仿宋" w:eastAsia="仿宋"/>
          <w:sz w:val="32"/>
          <w:szCs w:val="32"/>
          <w:highlight w:val="none"/>
          <w:u w:val="none"/>
        </w:rPr>
        <w:t>的持仓限额进行调整。</w:t>
      </w:r>
    </w:p>
    <w:p>
      <w:pPr>
        <w:spacing w:line="540" w:lineRule="exact"/>
        <w:ind w:firstLine="0"/>
        <w:rPr>
          <w:rFonts w:hint="eastAsia" w:ascii="仿宋" w:hAnsi="仿宋" w:eastAsia="仿宋"/>
          <w:sz w:val="32"/>
          <w:szCs w:val="32"/>
          <w:highlight w:val="none"/>
          <w:u w:val="none"/>
        </w:rPr>
      </w:pPr>
      <w:r>
        <w:rPr>
          <w:rFonts w:hint="eastAsia" w:ascii="仿宋" w:hAnsi="仿宋" w:eastAsia="仿宋"/>
          <w:b/>
          <w:sz w:val="32"/>
          <w:szCs w:val="32"/>
          <w:highlight w:val="none"/>
          <w:u w:val="none"/>
        </w:rPr>
        <w:t>第四条</w:t>
      </w:r>
      <w:r>
        <w:rPr>
          <w:rFonts w:hint="eastAsia" w:ascii="仿宋" w:hAnsi="仿宋" w:eastAsia="仿宋"/>
          <w:sz w:val="32"/>
          <w:szCs w:val="32"/>
          <w:highlight w:val="none"/>
          <w:u w:val="none"/>
        </w:rPr>
        <w:t xml:space="preserve"> 乙方应当就其做市期权品种向交易者提供持续报价、回应报价以及甲方</w:t>
      </w:r>
      <w:r>
        <w:rPr>
          <w:rFonts w:hint="eastAsia" w:ascii="仿宋" w:hAnsi="仿宋" w:eastAsia="仿宋"/>
          <w:sz w:val="32"/>
          <w:szCs w:val="32"/>
          <w:highlight w:val="none"/>
          <w:u w:val="none"/>
          <w:lang w:eastAsia="zh-CN"/>
        </w:rPr>
        <w:t>相关规定</w:t>
      </w:r>
      <w:r>
        <w:rPr>
          <w:rFonts w:hint="eastAsia" w:ascii="仿宋" w:hAnsi="仿宋" w:eastAsia="仿宋"/>
          <w:sz w:val="32"/>
          <w:szCs w:val="32"/>
          <w:highlight w:val="none"/>
          <w:u w:val="none"/>
        </w:rPr>
        <w:t>的其他做市服务。</w:t>
      </w:r>
    </w:p>
    <w:p>
      <w:pPr>
        <w:spacing w:line="540" w:lineRule="exact"/>
        <w:ind w:firstLine="0"/>
        <w:rPr>
          <w:rFonts w:ascii="仿宋" w:hAnsi="仿宋" w:eastAsia="仿宋"/>
          <w:sz w:val="32"/>
          <w:szCs w:val="32"/>
          <w:highlight w:val="none"/>
          <w:u w:val="none"/>
        </w:rPr>
      </w:pPr>
      <w:r>
        <w:rPr>
          <w:rFonts w:hint="eastAsia" w:ascii="仿宋" w:hAnsi="仿宋" w:eastAsia="仿宋"/>
          <w:sz w:val="32"/>
          <w:szCs w:val="32"/>
          <w:highlight w:val="none"/>
          <w:u w:val="none"/>
        </w:rPr>
        <w:t>甲方有权根据市场情况，要求乙方对特定期权合约提供做市服务。</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第五条</w:t>
      </w:r>
      <w:r>
        <w:rPr>
          <w:rFonts w:hint="eastAsia" w:ascii="仿宋" w:hAnsi="仿宋" w:eastAsia="仿宋"/>
          <w:sz w:val="32"/>
          <w:szCs w:val="32"/>
          <w:highlight w:val="none"/>
          <w:u w:val="none"/>
        </w:rPr>
        <w:t xml:space="preserve"> 乙方对</w:t>
      </w:r>
      <w:r>
        <w:rPr>
          <w:rFonts w:hint="eastAsia" w:ascii="仿宋" w:hAnsi="仿宋" w:eastAsia="仿宋"/>
          <w:sz w:val="32"/>
          <w:szCs w:val="32"/>
          <w:highlight w:val="none"/>
          <w:u w:val="none"/>
          <w:lang w:eastAsia="zh-CN"/>
        </w:rPr>
        <w:t>其做市</w:t>
      </w:r>
      <w:r>
        <w:rPr>
          <w:rFonts w:hint="eastAsia" w:ascii="仿宋" w:hAnsi="仿宋" w:eastAsia="仿宋"/>
          <w:sz w:val="32"/>
          <w:szCs w:val="32"/>
          <w:highlight w:val="none"/>
          <w:u w:val="none"/>
        </w:rPr>
        <w:t>期权</w:t>
      </w:r>
      <w:r>
        <w:rPr>
          <w:rFonts w:hint="eastAsia" w:ascii="仿宋" w:hAnsi="仿宋" w:eastAsia="仿宋"/>
          <w:sz w:val="32"/>
          <w:szCs w:val="32"/>
          <w:highlight w:val="none"/>
          <w:u w:val="none"/>
          <w:lang w:eastAsia="zh-CN"/>
        </w:rPr>
        <w:t>品种</w:t>
      </w:r>
      <w:r>
        <w:rPr>
          <w:rFonts w:hint="eastAsia" w:ascii="仿宋" w:hAnsi="仿宋" w:eastAsia="仿宋"/>
          <w:sz w:val="32"/>
          <w:szCs w:val="32"/>
          <w:highlight w:val="none"/>
          <w:u w:val="none"/>
        </w:rPr>
        <w:t>提供做市服务，做市指标应当符合</w:t>
      </w:r>
      <w:r>
        <w:rPr>
          <w:rFonts w:hint="eastAsia" w:ascii="仿宋" w:hAnsi="仿宋" w:eastAsia="仿宋"/>
          <w:sz w:val="32"/>
          <w:szCs w:val="32"/>
          <w:highlight w:val="none"/>
          <w:u w:val="none"/>
          <w:lang w:eastAsia="zh-CN"/>
        </w:rPr>
        <w:t>甲方相关规定</w:t>
      </w:r>
      <w:r>
        <w:rPr>
          <w:rFonts w:hint="eastAsia" w:ascii="仿宋" w:hAnsi="仿宋" w:eastAsia="仿宋"/>
          <w:sz w:val="32"/>
          <w:szCs w:val="32"/>
          <w:highlight w:val="none"/>
          <w:u w:val="none"/>
        </w:rPr>
        <w:t>的要求。</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第六条</w:t>
      </w:r>
      <w:r>
        <w:rPr>
          <w:rFonts w:hint="eastAsia" w:ascii="仿宋" w:hAnsi="仿宋" w:eastAsia="仿宋"/>
          <w:sz w:val="32"/>
          <w:szCs w:val="32"/>
          <w:highlight w:val="none"/>
          <w:u w:val="none"/>
        </w:rPr>
        <w:t xml:space="preserve"> 甲方有权根据市场情况或者乙方申请，对本协议第四条规定的做市服务具体要求进行补充、调整和豁免等变更，并以书面方式通知乙方</w:t>
      </w:r>
      <w:r>
        <w:rPr>
          <w:rFonts w:hint="eastAsia" w:ascii="仿宋" w:hAnsi="仿宋" w:eastAsia="仿宋"/>
          <w:sz w:val="32"/>
          <w:szCs w:val="32"/>
          <w:highlight w:val="none"/>
          <w:u w:val="none"/>
          <w:lang w:eastAsia="zh-CN"/>
        </w:rPr>
        <w:t>。</w:t>
      </w:r>
      <w:r>
        <w:rPr>
          <w:rFonts w:hint="eastAsia" w:ascii="仿宋" w:hAnsi="仿宋" w:eastAsia="仿宋"/>
          <w:sz w:val="32"/>
          <w:szCs w:val="32"/>
          <w:highlight w:val="none"/>
          <w:u w:val="none"/>
        </w:rPr>
        <w:t>乙方应当按照甲方变更后的具体要求提供做市服务。</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第七条</w:t>
      </w:r>
      <w:r>
        <w:rPr>
          <w:rFonts w:hint="eastAsia" w:ascii="仿宋" w:hAnsi="仿宋" w:eastAsia="仿宋"/>
          <w:sz w:val="32"/>
          <w:szCs w:val="32"/>
          <w:highlight w:val="none"/>
          <w:u w:val="none"/>
        </w:rPr>
        <w:t xml:space="preserve"> 乙方从事期权做市业务</w:t>
      </w:r>
      <w:r>
        <w:rPr>
          <w:rFonts w:hint="eastAsia" w:ascii="仿宋" w:hAnsi="仿宋" w:eastAsia="仿宋"/>
          <w:sz w:val="32"/>
          <w:szCs w:val="32"/>
          <w:highlight w:val="none"/>
          <w:u w:val="none"/>
          <w:lang w:eastAsia="zh-CN"/>
        </w:rPr>
        <w:t>应当</w:t>
      </w:r>
      <w:r>
        <w:rPr>
          <w:rFonts w:hint="eastAsia" w:ascii="仿宋" w:hAnsi="仿宋" w:eastAsia="仿宋"/>
          <w:sz w:val="32"/>
          <w:szCs w:val="32"/>
          <w:highlight w:val="none"/>
          <w:u w:val="none"/>
        </w:rPr>
        <w:t>使用</w:t>
      </w:r>
      <w:r>
        <w:rPr>
          <w:rFonts w:hint="eastAsia" w:ascii="仿宋" w:hAnsi="仿宋" w:eastAsia="仿宋"/>
          <w:sz w:val="32"/>
          <w:szCs w:val="32"/>
          <w:highlight w:val="none"/>
          <w:u w:val="none"/>
          <w:lang w:eastAsia="zh-CN"/>
        </w:rPr>
        <w:t>专用</w:t>
      </w:r>
      <w:r>
        <w:rPr>
          <w:rFonts w:hint="eastAsia" w:ascii="仿宋" w:hAnsi="仿宋" w:eastAsia="仿宋"/>
          <w:sz w:val="32"/>
          <w:szCs w:val="32"/>
          <w:highlight w:val="none"/>
          <w:u w:val="none"/>
        </w:rPr>
        <w:t>账户</w:t>
      </w:r>
      <w:r>
        <w:rPr>
          <w:rFonts w:hint="eastAsia" w:ascii="仿宋" w:hAnsi="仿宋" w:eastAsia="仿宋"/>
          <w:sz w:val="32"/>
          <w:szCs w:val="32"/>
          <w:highlight w:val="none"/>
          <w:u w:val="none"/>
          <w:lang w:eastAsia="zh-CN"/>
        </w:rPr>
        <w:t>，该专用</w:t>
      </w:r>
      <w:r>
        <w:rPr>
          <w:rFonts w:hint="eastAsia" w:ascii="仿宋" w:hAnsi="仿宋" w:eastAsia="仿宋"/>
          <w:sz w:val="32"/>
          <w:szCs w:val="32"/>
          <w:highlight w:val="none"/>
          <w:u w:val="none"/>
        </w:rPr>
        <w:t>账户不得用于非做市业务</w:t>
      </w:r>
      <w:r>
        <w:rPr>
          <w:rFonts w:hint="eastAsia" w:ascii="仿宋" w:hAnsi="仿宋" w:eastAsia="仿宋"/>
          <w:sz w:val="32"/>
          <w:szCs w:val="32"/>
          <w:highlight w:val="none"/>
          <w:u w:val="none"/>
          <w:lang w:eastAsia="zh-CN"/>
        </w:rPr>
        <w:t>。</w:t>
      </w:r>
    </w:p>
    <w:p>
      <w:pPr>
        <w:spacing w:line="540" w:lineRule="exact"/>
        <w:ind w:firstLine="0"/>
        <w:rPr>
          <w:rFonts w:ascii="仿宋" w:hAnsi="仿宋" w:eastAsia="仿宋"/>
          <w:sz w:val="32"/>
          <w:szCs w:val="32"/>
          <w:highlight w:val="none"/>
          <w:u w:val="none"/>
        </w:rPr>
      </w:pPr>
      <w:r>
        <w:rPr>
          <w:rFonts w:hint="eastAsia" w:ascii="仿宋" w:hAnsi="仿宋" w:eastAsia="仿宋"/>
          <w:sz w:val="32"/>
          <w:szCs w:val="32"/>
          <w:highlight w:val="none"/>
          <w:u w:val="none"/>
        </w:rPr>
        <w:t>乙方</w:t>
      </w:r>
      <w:r>
        <w:rPr>
          <w:rFonts w:hint="eastAsia" w:ascii="仿宋" w:hAnsi="仿宋" w:eastAsia="仿宋"/>
          <w:sz w:val="32"/>
          <w:szCs w:val="32"/>
          <w:highlight w:val="none"/>
          <w:u w:val="none"/>
          <w:lang w:eastAsia="zh-CN"/>
        </w:rPr>
        <w:t>新增或者</w:t>
      </w:r>
      <w:r>
        <w:rPr>
          <w:rFonts w:hint="eastAsia" w:ascii="仿宋" w:hAnsi="仿宋" w:eastAsia="仿宋"/>
          <w:sz w:val="32"/>
          <w:szCs w:val="32"/>
          <w:highlight w:val="none"/>
          <w:u w:val="none"/>
        </w:rPr>
        <w:t>变更</w:t>
      </w:r>
      <w:r>
        <w:rPr>
          <w:rFonts w:hint="eastAsia" w:ascii="仿宋" w:hAnsi="仿宋" w:eastAsia="仿宋"/>
          <w:sz w:val="32"/>
          <w:szCs w:val="32"/>
          <w:highlight w:val="none"/>
          <w:u w:val="none"/>
          <w:lang w:eastAsia="zh-CN"/>
        </w:rPr>
        <w:t>做市专用</w:t>
      </w:r>
      <w:r>
        <w:rPr>
          <w:rFonts w:hint="eastAsia" w:ascii="仿宋" w:hAnsi="仿宋" w:eastAsia="仿宋"/>
          <w:sz w:val="32"/>
          <w:szCs w:val="32"/>
          <w:highlight w:val="none"/>
          <w:u w:val="none"/>
        </w:rPr>
        <w:t>账户的，应当提前15个交易日向甲方报备，经甲方确认后</w:t>
      </w:r>
      <w:r>
        <w:rPr>
          <w:rFonts w:hint="eastAsia" w:ascii="仿宋" w:hAnsi="仿宋" w:eastAsia="仿宋"/>
          <w:sz w:val="32"/>
          <w:szCs w:val="32"/>
          <w:highlight w:val="none"/>
          <w:u w:val="none"/>
          <w:lang w:eastAsia="zh-CN"/>
        </w:rPr>
        <w:t>使用</w:t>
      </w:r>
      <w:r>
        <w:rPr>
          <w:rFonts w:hint="eastAsia" w:ascii="仿宋" w:hAnsi="仿宋" w:eastAsia="仿宋"/>
          <w:sz w:val="32"/>
          <w:szCs w:val="32"/>
          <w:highlight w:val="none"/>
          <w:u w:val="none"/>
        </w:rPr>
        <w:t>。</w:t>
      </w:r>
    </w:p>
    <w:p>
      <w:pPr>
        <w:spacing w:line="540" w:lineRule="exact"/>
        <w:ind w:firstLine="0"/>
        <w:rPr>
          <w:rFonts w:hint="eastAsia" w:ascii="仿宋" w:hAnsi="仿宋" w:eastAsia="仿宋"/>
          <w:sz w:val="32"/>
          <w:szCs w:val="32"/>
          <w:highlight w:val="none"/>
          <w:u w:val="none"/>
        </w:rPr>
      </w:pPr>
      <w:r>
        <w:rPr>
          <w:rFonts w:hint="eastAsia" w:ascii="仿宋" w:hAnsi="仿宋" w:eastAsia="仿宋"/>
          <w:b/>
          <w:sz w:val="32"/>
          <w:szCs w:val="32"/>
          <w:highlight w:val="none"/>
          <w:u w:val="none"/>
        </w:rPr>
        <w:t>第</w:t>
      </w:r>
      <w:r>
        <w:rPr>
          <w:rFonts w:hint="eastAsia" w:ascii="仿宋" w:hAnsi="仿宋" w:eastAsia="仿宋"/>
          <w:b/>
          <w:sz w:val="32"/>
          <w:szCs w:val="32"/>
          <w:highlight w:val="none"/>
          <w:u w:val="none"/>
          <w:lang w:eastAsia="zh-CN"/>
        </w:rPr>
        <w:t>八</w:t>
      </w:r>
      <w:r>
        <w:rPr>
          <w:rFonts w:hint="eastAsia" w:ascii="仿宋" w:hAnsi="仿宋" w:eastAsia="仿宋"/>
          <w:b/>
          <w:sz w:val="32"/>
          <w:szCs w:val="32"/>
          <w:highlight w:val="none"/>
          <w:u w:val="none"/>
        </w:rPr>
        <w:t>条</w:t>
      </w:r>
      <w:r>
        <w:rPr>
          <w:rFonts w:hint="default" w:ascii="仿宋" w:hAnsi="仿宋" w:eastAsia="仿宋"/>
          <w:b/>
          <w:sz w:val="32"/>
          <w:szCs w:val="32"/>
          <w:highlight w:val="none"/>
          <w:u w:val="none"/>
          <w:lang w:val="en-US"/>
        </w:rPr>
        <w:t xml:space="preserve"> </w:t>
      </w:r>
      <w:r>
        <w:rPr>
          <w:rFonts w:hint="eastAsia" w:ascii="仿宋" w:hAnsi="仿宋" w:eastAsia="仿宋"/>
          <w:sz w:val="32"/>
          <w:szCs w:val="32"/>
          <w:highlight w:val="none"/>
          <w:u w:val="none"/>
        </w:rPr>
        <w:t>甲方按照</w:t>
      </w:r>
      <w:r>
        <w:rPr>
          <w:rFonts w:hint="eastAsia" w:ascii="仿宋" w:hAnsi="仿宋" w:eastAsia="仿宋"/>
          <w:sz w:val="32"/>
          <w:szCs w:val="32"/>
          <w:highlight w:val="none"/>
          <w:u w:val="none"/>
          <w:lang w:eastAsia="zh-CN"/>
        </w:rPr>
        <w:t>相关规定</w:t>
      </w:r>
      <w:r>
        <w:rPr>
          <w:rFonts w:hint="eastAsia" w:ascii="仿宋" w:hAnsi="仿宋" w:eastAsia="仿宋"/>
          <w:sz w:val="32"/>
          <w:szCs w:val="32"/>
          <w:highlight w:val="none"/>
          <w:u w:val="none"/>
        </w:rPr>
        <w:t>计算乙方</w:t>
      </w:r>
      <w:r>
        <w:rPr>
          <w:rFonts w:hint="eastAsia" w:ascii="仿宋" w:hAnsi="仿宋" w:eastAsia="仿宋"/>
          <w:sz w:val="32"/>
          <w:szCs w:val="32"/>
          <w:highlight w:val="none"/>
          <w:u w:val="none"/>
          <w:lang w:eastAsia="zh-CN"/>
        </w:rPr>
        <w:t>在每个做市期权品种</w:t>
      </w:r>
      <w:r>
        <w:rPr>
          <w:rFonts w:hint="eastAsia" w:ascii="仿宋" w:hAnsi="仿宋" w:eastAsia="仿宋"/>
          <w:sz w:val="32"/>
          <w:szCs w:val="32"/>
          <w:highlight w:val="none"/>
          <w:u w:val="none"/>
        </w:rPr>
        <w:t>的做市指标，并根据计算结果</w:t>
      </w:r>
      <w:r>
        <w:rPr>
          <w:rFonts w:hint="eastAsia" w:ascii="仿宋" w:hAnsi="仿宋" w:eastAsia="仿宋"/>
          <w:sz w:val="32"/>
          <w:szCs w:val="32"/>
          <w:highlight w:val="none"/>
          <w:u w:val="none"/>
          <w:lang w:eastAsia="zh-CN"/>
        </w:rPr>
        <w:t>对</w:t>
      </w:r>
      <w:r>
        <w:rPr>
          <w:rFonts w:hint="eastAsia" w:ascii="仿宋" w:hAnsi="仿宋" w:eastAsia="仿宋"/>
          <w:sz w:val="32"/>
          <w:szCs w:val="32"/>
          <w:highlight w:val="none"/>
          <w:u w:val="none"/>
        </w:rPr>
        <w:t>乙方做市业务</w:t>
      </w:r>
      <w:r>
        <w:rPr>
          <w:rFonts w:hint="eastAsia" w:ascii="仿宋" w:hAnsi="仿宋" w:eastAsia="仿宋"/>
          <w:sz w:val="32"/>
          <w:szCs w:val="32"/>
          <w:highlight w:val="none"/>
          <w:u w:val="none"/>
          <w:lang w:eastAsia="zh-CN"/>
        </w:rPr>
        <w:t>进行</w:t>
      </w:r>
      <w:r>
        <w:rPr>
          <w:rFonts w:hint="eastAsia" w:ascii="仿宋" w:hAnsi="仿宋" w:eastAsia="仿宋"/>
          <w:sz w:val="32"/>
          <w:szCs w:val="32"/>
          <w:highlight w:val="none"/>
          <w:u w:val="none"/>
        </w:rPr>
        <w:t>评价。甲方有权向市场公布乙方做市业务评价结果。</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第</w:t>
      </w:r>
      <w:r>
        <w:rPr>
          <w:rFonts w:hint="eastAsia" w:ascii="仿宋" w:hAnsi="仿宋" w:eastAsia="仿宋"/>
          <w:b/>
          <w:sz w:val="32"/>
          <w:szCs w:val="32"/>
          <w:highlight w:val="none"/>
          <w:u w:val="none"/>
          <w:lang w:eastAsia="zh-CN"/>
        </w:rPr>
        <w:t>九</w:t>
      </w:r>
      <w:r>
        <w:rPr>
          <w:rFonts w:hint="eastAsia" w:ascii="仿宋" w:hAnsi="仿宋" w:eastAsia="仿宋"/>
          <w:b/>
          <w:sz w:val="32"/>
          <w:szCs w:val="32"/>
          <w:highlight w:val="none"/>
          <w:u w:val="none"/>
        </w:rPr>
        <w:t xml:space="preserve">条 </w:t>
      </w:r>
      <w:r>
        <w:rPr>
          <w:rFonts w:hint="eastAsia" w:ascii="仿宋" w:hAnsi="仿宋" w:eastAsia="仿宋"/>
          <w:sz w:val="32"/>
          <w:szCs w:val="32"/>
          <w:highlight w:val="none"/>
          <w:u w:val="none"/>
        </w:rPr>
        <w:t>乙方违反</w:t>
      </w:r>
      <w:r>
        <w:rPr>
          <w:rFonts w:hint="eastAsia" w:ascii="仿宋" w:hAnsi="仿宋" w:eastAsia="仿宋"/>
          <w:sz w:val="32"/>
          <w:szCs w:val="32"/>
          <w:highlight w:val="none"/>
          <w:u w:val="none"/>
          <w:lang w:eastAsia="zh-CN"/>
        </w:rPr>
        <w:t>甲方相关规定的</w:t>
      </w:r>
      <w:r>
        <w:rPr>
          <w:rFonts w:hint="eastAsia" w:ascii="仿宋" w:hAnsi="仿宋" w:eastAsia="仿宋"/>
          <w:sz w:val="32"/>
          <w:szCs w:val="32"/>
          <w:highlight w:val="none"/>
          <w:u w:val="none"/>
        </w:rPr>
        <w:t>，甲方有权调低乙方评价结果。</w:t>
      </w:r>
    </w:p>
    <w:p>
      <w:pPr>
        <w:spacing w:line="540" w:lineRule="exact"/>
        <w:ind w:firstLine="0"/>
        <w:rPr>
          <w:rFonts w:hint="eastAsia" w:ascii="仿宋" w:hAnsi="仿宋" w:eastAsia="仿宋"/>
          <w:sz w:val="32"/>
          <w:szCs w:val="32"/>
          <w:highlight w:val="none"/>
          <w:u w:val="none"/>
        </w:rPr>
      </w:pPr>
      <w:r>
        <w:rPr>
          <w:rFonts w:hint="eastAsia" w:ascii="仿宋" w:hAnsi="仿宋" w:eastAsia="仿宋"/>
          <w:b/>
          <w:sz w:val="32"/>
          <w:szCs w:val="32"/>
          <w:highlight w:val="none"/>
          <w:u w:val="none"/>
        </w:rPr>
        <w:t xml:space="preserve">第十条 </w:t>
      </w:r>
      <w:r>
        <w:rPr>
          <w:rFonts w:hint="eastAsia" w:ascii="仿宋" w:hAnsi="仿宋" w:eastAsia="仿宋"/>
          <w:sz w:val="32"/>
          <w:szCs w:val="32"/>
          <w:highlight w:val="none"/>
          <w:u w:val="none"/>
        </w:rPr>
        <w:t>甲方按照</w:t>
      </w:r>
      <w:r>
        <w:rPr>
          <w:rFonts w:hint="eastAsia" w:ascii="仿宋" w:hAnsi="仿宋" w:eastAsia="仿宋"/>
          <w:sz w:val="32"/>
          <w:szCs w:val="32"/>
          <w:highlight w:val="none"/>
          <w:u w:val="none"/>
          <w:lang w:eastAsia="zh-CN"/>
        </w:rPr>
        <w:t>相关规定</w:t>
      </w:r>
      <w:r>
        <w:rPr>
          <w:rFonts w:hint="eastAsia" w:ascii="仿宋" w:hAnsi="仿宋" w:eastAsia="仿宋"/>
          <w:sz w:val="32"/>
          <w:szCs w:val="32"/>
          <w:highlight w:val="none"/>
          <w:u w:val="none"/>
        </w:rPr>
        <w:t>给予乙方适当交易费用减免和激励。</w:t>
      </w:r>
    </w:p>
    <w:p>
      <w:pPr>
        <w:spacing w:line="540" w:lineRule="exact"/>
        <w:ind w:firstLine="0"/>
        <w:rPr>
          <w:rFonts w:hint="eastAsia" w:ascii="仿宋" w:hAnsi="仿宋" w:eastAsia="仿宋"/>
          <w:sz w:val="32"/>
          <w:szCs w:val="32"/>
          <w:highlight w:val="none"/>
          <w:u w:val="none"/>
        </w:rPr>
      </w:pPr>
      <w:r>
        <w:rPr>
          <w:rFonts w:hint="eastAsia" w:ascii="仿宋" w:hAnsi="仿宋" w:eastAsia="仿宋"/>
          <w:sz w:val="32"/>
          <w:szCs w:val="32"/>
          <w:highlight w:val="none"/>
          <w:u w:val="none"/>
        </w:rPr>
        <w:t>甲方有权根据市场情况，对减免和激励标准进行调整，经甲方发出公告或者书面通知后生效。</w:t>
      </w:r>
    </w:p>
    <w:p>
      <w:pPr>
        <w:spacing w:line="540" w:lineRule="exact"/>
        <w:ind w:firstLine="0"/>
        <w:rPr>
          <w:rFonts w:hint="eastAsia" w:ascii="仿宋" w:hAnsi="仿宋" w:eastAsia="仿宋"/>
          <w:sz w:val="32"/>
          <w:szCs w:val="32"/>
          <w:highlight w:val="none"/>
          <w:u w:val="none"/>
        </w:rPr>
      </w:pPr>
      <w:r>
        <w:rPr>
          <w:rFonts w:hint="eastAsia" w:ascii="仿宋" w:hAnsi="仿宋" w:eastAsia="仿宋"/>
          <w:b/>
          <w:sz w:val="32"/>
          <w:szCs w:val="32"/>
          <w:highlight w:val="none"/>
          <w:u w:val="none"/>
        </w:rPr>
        <w:t>第十</w:t>
      </w:r>
      <w:r>
        <w:rPr>
          <w:rFonts w:hint="eastAsia" w:ascii="仿宋" w:hAnsi="仿宋" w:eastAsia="仿宋"/>
          <w:b/>
          <w:sz w:val="32"/>
          <w:szCs w:val="32"/>
          <w:highlight w:val="none"/>
          <w:u w:val="none"/>
          <w:lang w:eastAsia="zh-CN"/>
        </w:rPr>
        <w:t>一</w:t>
      </w:r>
      <w:r>
        <w:rPr>
          <w:rFonts w:hint="eastAsia" w:ascii="仿宋" w:hAnsi="仿宋" w:eastAsia="仿宋"/>
          <w:b/>
          <w:sz w:val="32"/>
          <w:szCs w:val="32"/>
          <w:highlight w:val="none"/>
          <w:u w:val="none"/>
        </w:rPr>
        <w:t xml:space="preserve">条 </w:t>
      </w:r>
      <w:r>
        <w:rPr>
          <w:rFonts w:hint="eastAsia" w:ascii="仿宋" w:hAnsi="仿宋" w:eastAsia="仿宋"/>
          <w:sz w:val="32"/>
          <w:szCs w:val="32"/>
          <w:highlight w:val="none"/>
          <w:u w:val="none"/>
        </w:rPr>
        <w:t>甲方委托中国证券登记结算有限公司深圳分公司向乙方收取交易经手费</w:t>
      </w:r>
      <w:r>
        <w:rPr>
          <w:rFonts w:hint="eastAsia" w:ascii="仿宋" w:hAnsi="仿宋" w:eastAsia="仿宋"/>
          <w:sz w:val="32"/>
          <w:szCs w:val="32"/>
          <w:highlight w:val="none"/>
          <w:u w:val="none"/>
          <w:lang w:eastAsia="zh-CN"/>
        </w:rPr>
        <w:t>，并进行</w:t>
      </w:r>
      <w:r>
        <w:rPr>
          <w:rFonts w:hint="eastAsia" w:ascii="仿宋" w:hAnsi="仿宋" w:eastAsia="仿宋"/>
          <w:sz w:val="32"/>
          <w:szCs w:val="32"/>
          <w:highlight w:val="none"/>
          <w:u w:val="none"/>
        </w:rPr>
        <w:t>交易费</w:t>
      </w:r>
      <w:r>
        <w:rPr>
          <w:rFonts w:hint="eastAsia" w:ascii="仿宋" w:hAnsi="仿宋" w:eastAsia="仿宋"/>
          <w:sz w:val="32"/>
          <w:szCs w:val="32"/>
          <w:highlight w:val="none"/>
          <w:u w:val="none"/>
          <w:lang w:eastAsia="zh-CN"/>
        </w:rPr>
        <w:t>用的减免和激励</w:t>
      </w:r>
      <w:r>
        <w:rPr>
          <w:rFonts w:hint="eastAsia" w:ascii="仿宋" w:hAnsi="仿宋" w:eastAsia="仿宋"/>
          <w:sz w:val="32"/>
          <w:szCs w:val="32"/>
          <w:highlight w:val="none"/>
          <w:u w:val="none"/>
        </w:rPr>
        <w:t>。</w:t>
      </w:r>
    </w:p>
    <w:p>
      <w:pPr>
        <w:spacing w:line="540" w:lineRule="exact"/>
        <w:ind w:firstLine="0"/>
        <w:rPr>
          <w:rFonts w:hint="eastAsia" w:ascii="仿宋" w:hAnsi="仿宋" w:eastAsia="仿宋"/>
          <w:sz w:val="32"/>
          <w:szCs w:val="32"/>
          <w:highlight w:val="none"/>
          <w:u w:val="none"/>
        </w:rPr>
      </w:pPr>
      <w:r>
        <w:rPr>
          <w:rFonts w:hint="eastAsia" w:ascii="仿宋" w:hAnsi="仿宋" w:eastAsia="仿宋"/>
          <w:sz w:val="32"/>
          <w:szCs w:val="32"/>
          <w:highlight w:val="none"/>
          <w:u w:val="none"/>
        </w:rPr>
        <w:t>乙方应当</w:t>
      </w:r>
      <w:r>
        <w:rPr>
          <w:rFonts w:hint="eastAsia" w:ascii="仿宋" w:hAnsi="仿宋" w:eastAsia="仿宋"/>
          <w:sz w:val="32"/>
          <w:szCs w:val="32"/>
          <w:highlight w:val="none"/>
          <w:u w:val="none"/>
          <w:lang w:eastAsia="zh-CN"/>
        </w:rPr>
        <w:t>按照</w:t>
      </w:r>
      <w:r>
        <w:rPr>
          <w:rFonts w:hint="eastAsia" w:ascii="仿宋" w:hAnsi="仿宋" w:eastAsia="仿宋"/>
          <w:sz w:val="32"/>
          <w:szCs w:val="32"/>
          <w:highlight w:val="none"/>
          <w:u w:val="none"/>
        </w:rPr>
        <w:t>甲方</w:t>
      </w:r>
      <w:r>
        <w:rPr>
          <w:rFonts w:hint="eastAsia" w:ascii="仿宋" w:hAnsi="仿宋" w:eastAsia="仿宋"/>
          <w:sz w:val="32"/>
          <w:szCs w:val="32"/>
          <w:highlight w:val="none"/>
          <w:u w:val="none"/>
          <w:lang w:eastAsia="zh-CN"/>
        </w:rPr>
        <w:t>要求</w:t>
      </w:r>
      <w:r>
        <w:rPr>
          <w:rFonts w:hint="eastAsia" w:ascii="仿宋" w:hAnsi="仿宋" w:eastAsia="仿宋"/>
          <w:sz w:val="32"/>
          <w:szCs w:val="32"/>
          <w:highlight w:val="none"/>
          <w:u w:val="none"/>
        </w:rPr>
        <w:t>出具增值税专用发票</w:t>
      </w:r>
      <w:r>
        <w:rPr>
          <w:rFonts w:hint="eastAsia" w:ascii="仿宋" w:hAnsi="仿宋" w:eastAsia="仿宋"/>
          <w:sz w:val="32"/>
          <w:szCs w:val="32"/>
          <w:highlight w:val="none"/>
          <w:u w:val="none"/>
          <w:lang w:eastAsia="zh-CN"/>
        </w:rPr>
        <w:t>。乙方逾期未出具发票的，甲方可以暂停对乙方进行交易费用的减免和激励</w:t>
      </w:r>
      <w:r>
        <w:rPr>
          <w:rFonts w:hint="eastAsia" w:ascii="仿宋" w:hAnsi="仿宋" w:eastAsia="仿宋"/>
          <w:sz w:val="32"/>
          <w:szCs w:val="32"/>
          <w:highlight w:val="none"/>
          <w:u w:val="none"/>
        </w:rPr>
        <w:t>。</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第十</w:t>
      </w:r>
      <w:r>
        <w:rPr>
          <w:rFonts w:hint="eastAsia" w:ascii="仿宋" w:hAnsi="仿宋" w:eastAsia="仿宋"/>
          <w:b/>
          <w:sz w:val="32"/>
          <w:szCs w:val="32"/>
          <w:highlight w:val="none"/>
          <w:u w:val="none"/>
          <w:lang w:eastAsia="zh-CN"/>
        </w:rPr>
        <w:t>二</w:t>
      </w:r>
      <w:r>
        <w:rPr>
          <w:rFonts w:hint="eastAsia" w:ascii="仿宋" w:hAnsi="仿宋" w:eastAsia="仿宋"/>
          <w:b/>
          <w:sz w:val="32"/>
          <w:szCs w:val="32"/>
          <w:highlight w:val="none"/>
          <w:u w:val="none"/>
        </w:rPr>
        <w:t>条</w:t>
      </w:r>
      <w:r>
        <w:rPr>
          <w:rFonts w:hint="eastAsia" w:ascii="仿宋" w:hAnsi="仿宋" w:eastAsia="仿宋"/>
          <w:sz w:val="32"/>
          <w:szCs w:val="32"/>
          <w:highlight w:val="none"/>
          <w:u w:val="none"/>
        </w:rPr>
        <w:t xml:space="preserve"> 因不可抗力、意外事件以及技术故障等原因导致乙方无法正常从事做市业务，以及甲方采取相应措施而造成的损失，甲方不承担责任。</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第十</w:t>
      </w:r>
      <w:r>
        <w:rPr>
          <w:rFonts w:hint="eastAsia" w:ascii="仿宋" w:hAnsi="仿宋" w:eastAsia="仿宋"/>
          <w:b/>
          <w:sz w:val="32"/>
          <w:szCs w:val="32"/>
          <w:highlight w:val="none"/>
          <w:u w:val="none"/>
          <w:lang w:eastAsia="zh-CN"/>
        </w:rPr>
        <w:t>三</w:t>
      </w:r>
      <w:r>
        <w:rPr>
          <w:rFonts w:hint="eastAsia" w:ascii="仿宋" w:hAnsi="仿宋" w:eastAsia="仿宋"/>
          <w:b/>
          <w:sz w:val="32"/>
          <w:szCs w:val="32"/>
          <w:highlight w:val="none"/>
          <w:u w:val="none"/>
        </w:rPr>
        <w:t>条</w:t>
      </w:r>
      <w:r>
        <w:rPr>
          <w:rFonts w:hint="eastAsia" w:ascii="仿宋" w:hAnsi="仿宋" w:eastAsia="仿宋"/>
          <w:sz w:val="32"/>
          <w:szCs w:val="32"/>
          <w:highlight w:val="none"/>
          <w:u w:val="none"/>
        </w:rPr>
        <w:t xml:space="preserve"> 甲方有权依据法律法规以及甲方相关规定，将乙方对</w:t>
      </w:r>
      <w:r>
        <w:rPr>
          <w:rFonts w:hint="eastAsia" w:ascii="仿宋" w:hAnsi="仿宋" w:eastAsia="仿宋"/>
          <w:sz w:val="32"/>
          <w:szCs w:val="32"/>
          <w:highlight w:val="none"/>
          <w:u w:val="none"/>
          <w:lang w:eastAsia="zh-CN"/>
        </w:rPr>
        <w:t>任一</w:t>
      </w:r>
      <w:r>
        <w:rPr>
          <w:rFonts w:hint="eastAsia" w:ascii="仿宋" w:hAnsi="仿宋" w:eastAsia="仿宋"/>
          <w:sz w:val="32"/>
          <w:szCs w:val="32"/>
          <w:highlight w:val="none"/>
          <w:u w:val="none"/>
        </w:rPr>
        <w:t>期权</w:t>
      </w:r>
      <w:r>
        <w:rPr>
          <w:rFonts w:hint="eastAsia" w:ascii="仿宋" w:hAnsi="仿宋" w:eastAsia="仿宋"/>
          <w:sz w:val="32"/>
          <w:szCs w:val="32"/>
          <w:highlight w:val="none"/>
          <w:u w:val="none"/>
          <w:lang w:eastAsia="zh-CN"/>
        </w:rPr>
        <w:t>合约品种</w:t>
      </w:r>
      <w:r>
        <w:rPr>
          <w:rFonts w:hint="eastAsia" w:ascii="仿宋" w:hAnsi="仿宋" w:eastAsia="仿宋"/>
          <w:sz w:val="32"/>
          <w:szCs w:val="32"/>
          <w:highlight w:val="none"/>
          <w:u w:val="none"/>
        </w:rPr>
        <w:t>的做市资格由主做市商调整为一般做市商，或者终止乙方对</w:t>
      </w:r>
      <w:r>
        <w:rPr>
          <w:rFonts w:hint="eastAsia" w:ascii="仿宋" w:hAnsi="仿宋" w:eastAsia="仿宋"/>
          <w:sz w:val="32"/>
          <w:szCs w:val="32"/>
          <w:highlight w:val="none"/>
          <w:u w:val="none"/>
          <w:lang w:eastAsia="zh-CN"/>
        </w:rPr>
        <w:t>任一</w:t>
      </w:r>
      <w:r>
        <w:rPr>
          <w:rFonts w:hint="eastAsia" w:ascii="仿宋" w:hAnsi="仿宋" w:eastAsia="仿宋"/>
          <w:sz w:val="32"/>
          <w:szCs w:val="32"/>
          <w:highlight w:val="none"/>
          <w:u w:val="none"/>
        </w:rPr>
        <w:t>期权</w:t>
      </w:r>
      <w:r>
        <w:rPr>
          <w:rFonts w:hint="eastAsia" w:ascii="仿宋" w:hAnsi="仿宋" w:eastAsia="仿宋"/>
          <w:sz w:val="32"/>
          <w:szCs w:val="32"/>
          <w:highlight w:val="none"/>
          <w:u w:val="none"/>
          <w:lang w:eastAsia="zh-CN"/>
        </w:rPr>
        <w:t>合约品种</w:t>
      </w:r>
      <w:r>
        <w:rPr>
          <w:rFonts w:hint="eastAsia" w:ascii="仿宋" w:hAnsi="仿宋" w:eastAsia="仿宋"/>
          <w:sz w:val="32"/>
          <w:szCs w:val="32"/>
          <w:highlight w:val="none"/>
          <w:u w:val="none"/>
        </w:rPr>
        <w:t>的做市资格。甲方</w:t>
      </w:r>
      <w:r>
        <w:rPr>
          <w:rFonts w:hint="eastAsia" w:ascii="仿宋" w:hAnsi="仿宋" w:eastAsia="仿宋"/>
          <w:sz w:val="32"/>
          <w:szCs w:val="32"/>
          <w:highlight w:val="none"/>
          <w:u w:val="none"/>
          <w:lang w:eastAsia="zh-CN"/>
        </w:rPr>
        <w:t>调整或者终止乙方做市资格的，</w:t>
      </w:r>
      <w:r>
        <w:rPr>
          <w:rFonts w:hint="eastAsia" w:ascii="仿宋" w:hAnsi="仿宋" w:eastAsia="仿宋"/>
          <w:sz w:val="32"/>
          <w:szCs w:val="32"/>
          <w:highlight w:val="none"/>
          <w:u w:val="none"/>
        </w:rPr>
        <w:t>应当提前5个交易日通知乙方。</w:t>
      </w:r>
    </w:p>
    <w:p>
      <w:pPr>
        <w:spacing w:line="540" w:lineRule="exact"/>
        <w:ind w:firstLine="0"/>
        <w:rPr>
          <w:rFonts w:ascii="仿宋" w:hAnsi="仿宋" w:eastAsia="仿宋"/>
          <w:sz w:val="32"/>
          <w:szCs w:val="32"/>
          <w:highlight w:val="none"/>
          <w:u w:val="none"/>
        </w:rPr>
      </w:pPr>
      <w:r>
        <w:rPr>
          <w:rFonts w:hint="eastAsia" w:ascii="仿宋" w:hAnsi="仿宋" w:eastAsia="仿宋"/>
          <w:sz w:val="32"/>
          <w:szCs w:val="32"/>
          <w:highlight w:val="none"/>
          <w:u w:val="none"/>
        </w:rPr>
        <w:t>乙方拟自行终止对全部或者部分期权</w:t>
      </w:r>
      <w:r>
        <w:rPr>
          <w:rFonts w:hint="eastAsia" w:ascii="仿宋" w:hAnsi="仿宋" w:eastAsia="仿宋"/>
          <w:sz w:val="32"/>
          <w:szCs w:val="32"/>
          <w:highlight w:val="none"/>
          <w:u w:val="none"/>
          <w:lang w:eastAsia="zh-CN"/>
        </w:rPr>
        <w:t>合约品种</w:t>
      </w:r>
      <w:r>
        <w:rPr>
          <w:rFonts w:hint="eastAsia" w:ascii="仿宋" w:hAnsi="仿宋" w:eastAsia="仿宋"/>
          <w:sz w:val="32"/>
          <w:szCs w:val="32"/>
          <w:highlight w:val="none"/>
          <w:u w:val="none"/>
        </w:rPr>
        <w:t>提供做市服务的，应当提前15个交易日书面通知甲方，经甲方确认后终止。</w:t>
      </w:r>
    </w:p>
    <w:p>
      <w:pPr>
        <w:spacing w:line="540" w:lineRule="exact"/>
        <w:ind w:firstLine="0"/>
        <w:rPr>
          <w:rFonts w:hint="eastAsia" w:ascii="仿宋" w:hAnsi="仿宋" w:eastAsia="仿宋"/>
          <w:sz w:val="32"/>
          <w:szCs w:val="32"/>
          <w:highlight w:val="none"/>
          <w:u w:val="none"/>
        </w:rPr>
      </w:pPr>
      <w:r>
        <w:rPr>
          <w:rFonts w:hint="eastAsia" w:ascii="仿宋" w:hAnsi="仿宋" w:eastAsia="仿宋"/>
          <w:sz w:val="32"/>
          <w:szCs w:val="32"/>
          <w:highlight w:val="none"/>
          <w:u w:val="none"/>
        </w:rPr>
        <w:t>乙方</w:t>
      </w:r>
      <w:r>
        <w:rPr>
          <w:rFonts w:hint="eastAsia" w:ascii="仿宋" w:hAnsi="仿宋" w:eastAsia="仿宋"/>
          <w:sz w:val="32"/>
          <w:szCs w:val="32"/>
          <w:highlight w:val="none"/>
          <w:u w:val="none"/>
          <w:lang w:eastAsia="zh-CN"/>
        </w:rPr>
        <w:t>全部期权合约品种的</w:t>
      </w:r>
      <w:r>
        <w:rPr>
          <w:rFonts w:hint="eastAsia" w:ascii="仿宋" w:hAnsi="仿宋" w:eastAsia="仿宋"/>
          <w:sz w:val="32"/>
          <w:szCs w:val="32"/>
          <w:highlight w:val="none"/>
          <w:u w:val="none"/>
        </w:rPr>
        <w:t>做市资格</w:t>
      </w:r>
      <w:r>
        <w:rPr>
          <w:rFonts w:hint="eastAsia" w:ascii="仿宋" w:hAnsi="仿宋" w:eastAsia="仿宋"/>
          <w:sz w:val="32"/>
          <w:szCs w:val="32"/>
          <w:highlight w:val="none"/>
          <w:u w:val="none"/>
          <w:lang w:eastAsia="zh-CN"/>
        </w:rPr>
        <w:t>被</w:t>
      </w:r>
      <w:r>
        <w:rPr>
          <w:rFonts w:hint="eastAsia" w:ascii="仿宋" w:hAnsi="仿宋" w:eastAsia="仿宋"/>
          <w:sz w:val="32"/>
          <w:szCs w:val="32"/>
          <w:highlight w:val="none"/>
          <w:u w:val="none"/>
        </w:rPr>
        <w:t>终止的，本协议自动终止。</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第十</w:t>
      </w:r>
      <w:r>
        <w:rPr>
          <w:rFonts w:hint="eastAsia" w:ascii="仿宋" w:hAnsi="仿宋" w:eastAsia="仿宋"/>
          <w:b/>
          <w:sz w:val="32"/>
          <w:szCs w:val="32"/>
          <w:highlight w:val="none"/>
          <w:u w:val="none"/>
          <w:lang w:eastAsia="zh-CN"/>
        </w:rPr>
        <w:t>四</w:t>
      </w:r>
      <w:r>
        <w:rPr>
          <w:rFonts w:hint="eastAsia" w:ascii="仿宋" w:hAnsi="仿宋" w:eastAsia="仿宋"/>
          <w:b/>
          <w:sz w:val="32"/>
          <w:szCs w:val="32"/>
          <w:highlight w:val="none"/>
          <w:u w:val="none"/>
        </w:rPr>
        <w:t>条</w:t>
      </w:r>
      <w:r>
        <w:rPr>
          <w:rFonts w:hint="eastAsia" w:ascii="仿宋" w:hAnsi="仿宋" w:eastAsia="仿宋"/>
          <w:sz w:val="32"/>
          <w:szCs w:val="32"/>
          <w:highlight w:val="none"/>
          <w:u w:val="none"/>
        </w:rPr>
        <w:t xml:space="preserve"> 乙方同意接受并积极配合甲方依据法律法规、</w:t>
      </w:r>
      <w:r>
        <w:rPr>
          <w:rFonts w:hint="eastAsia" w:ascii="仿宋" w:hAnsi="仿宋" w:eastAsia="仿宋"/>
          <w:sz w:val="32"/>
          <w:szCs w:val="32"/>
          <w:highlight w:val="none"/>
          <w:u w:val="none"/>
          <w:lang w:eastAsia="zh-CN"/>
        </w:rPr>
        <w:t>甲方相关规定</w:t>
      </w:r>
      <w:r>
        <w:rPr>
          <w:rFonts w:hint="eastAsia" w:ascii="仿宋" w:hAnsi="仿宋" w:eastAsia="仿宋"/>
          <w:sz w:val="32"/>
          <w:szCs w:val="32"/>
          <w:highlight w:val="none"/>
          <w:u w:val="none"/>
        </w:rPr>
        <w:t>以及本协议，对乙方做市业务实施的监督管理。</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第十</w:t>
      </w:r>
      <w:r>
        <w:rPr>
          <w:rFonts w:hint="eastAsia" w:ascii="仿宋" w:hAnsi="仿宋" w:eastAsia="仿宋"/>
          <w:b/>
          <w:sz w:val="32"/>
          <w:szCs w:val="32"/>
          <w:highlight w:val="none"/>
          <w:u w:val="none"/>
          <w:lang w:eastAsia="zh-CN"/>
        </w:rPr>
        <w:t>五</w:t>
      </w:r>
      <w:r>
        <w:rPr>
          <w:rFonts w:hint="eastAsia" w:ascii="仿宋" w:hAnsi="仿宋" w:eastAsia="仿宋"/>
          <w:b/>
          <w:sz w:val="32"/>
          <w:szCs w:val="32"/>
          <w:highlight w:val="none"/>
          <w:u w:val="none"/>
        </w:rPr>
        <w:t>条</w:t>
      </w:r>
      <w:r>
        <w:rPr>
          <w:rFonts w:hint="eastAsia" w:ascii="仿宋" w:hAnsi="仿宋" w:eastAsia="仿宋"/>
          <w:sz w:val="32"/>
          <w:szCs w:val="32"/>
          <w:highlight w:val="none"/>
          <w:u w:val="none"/>
        </w:rPr>
        <w:t xml:space="preserve"> 本协议履行过程中，甲方依据</w:t>
      </w:r>
      <w:r>
        <w:rPr>
          <w:rFonts w:hint="eastAsia" w:ascii="仿宋" w:hAnsi="仿宋" w:eastAsia="仿宋"/>
          <w:sz w:val="32"/>
          <w:szCs w:val="32"/>
          <w:highlight w:val="none"/>
          <w:u w:val="none"/>
          <w:lang w:eastAsia="zh-CN"/>
        </w:rPr>
        <w:t>相关规定</w:t>
      </w:r>
      <w:r>
        <w:rPr>
          <w:rFonts w:hint="eastAsia" w:ascii="仿宋" w:hAnsi="仿宋" w:eastAsia="仿宋"/>
          <w:sz w:val="32"/>
          <w:szCs w:val="32"/>
          <w:highlight w:val="none"/>
          <w:u w:val="none"/>
        </w:rPr>
        <w:t>以及本协议向乙方发布的各类通知、乙方在本协议履行过程中作出的承诺，以及乙方向甲方提交</w:t>
      </w:r>
      <w:r>
        <w:rPr>
          <w:rFonts w:hint="eastAsia" w:ascii="仿宋" w:hAnsi="仿宋" w:eastAsia="仿宋"/>
          <w:sz w:val="32"/>
          <w:szCs w:val="32"/>
          <w:highlight w:val="none"/>
          <w:u w:val="none"/>
          <w:lang w:eastAsia="zh-CN"/>
        </w:rPr>
        <w:t>并</w:t>
      </w:r>
      <w:r>
        <w:rPr>
          <w:rFonts w:hint="eastAsia" w:ascii="仿宋" w:hAnsi="仿宋" w:eastAsia="仿宋"/>
          <w:sz w:val="32"/>
          <w:szCs w:val="32"/>
          <w:highlight w:val="none"/>
          <w:u w:val="none"/>
        </w:rPr>
        <w:t>经甲方认可的有关申请材料、报告、证明等文件，是本协议的有效组成部分，与本协议具有同等效力。</w:t>
      </w:r>
    </w:p>
    <w:p>
      <w:pPr>
        <w:spacing w:line="540" w:lineRule="exact"/>
        <w:ind w:firstLine="0"/>
        <w:rPr>
          <w:rFonts w:ascii="仿宋" w:hAnsi="仿宋" w:eastAsia="仿宋"/>
          <w:sz w:val="32"/>
          <w:szCs w:val="32"/>
          <w:highlight w:val="none"/>
          <w:u w:val="none"/>
        </w:rPr>
      </w:pPr>
      <w:r>
        <w:rPr>
          <w:rFonts w:hint="eastAsia" w:ascii="仿宋" w:hAnsi="仿宋" w:eastAsia="仿宋"/>
          <w:sz w:val="32"/>
          <w:szCs w:val="32"/>
          <w:highlight w:val="none"/>
          <w:u w:val="none"/>
        </w:rPr>
        <w:t>除本协议规定的甲方可</w:t>
      </w:r>
      <w:r>
        <w:rPr>
          <w:rFonts w:hint="eastAsia" w:ascii="仿宋" w:hAnsi="仿宋" w:eastAsia="仿宋"/>
          <w:sz w:val="32"/>
          <w:szCs w:val="32"/>
          <w:highlight w:val="none"/>
          <w:u w:val="none"/>
          <w:lang w:eastAsia="zh-CN"/>
        </w:rPr>
        <w:t>以</w:t>
      </w:r>
      <w:r>
        <w:rPr>
          <w:rFonts w:hint="eastAsia" w:ascii="仿宋" w:hAnsi="仿宋" w:eastAsia="仿宋"/>
          <w:sz w:val="32"/>
          <w:szCs w:val="32"/>
          <w:highlight w:val="none"/>
          <w:u w:val="none"/>
        </w:rPr>
        <w:t>单方变更和调整的事项外，双方还可以书面方式对本协议作出修改或</w:t>
      </w:r>
      <w:r>
        <w:rPr>
          <w:rFonts w:hint="eastAsia" w:ascii="仿宋" w:hAnsi="仿宋" w:eastAsia="仿宋"/>
          <w:sz w:val="32"/>
          <w:szCs w:val="32"/>
          <w:highlight w:val="none"/>
          <w:u w:val="none"/>
          <w:lang w:eastAsia="zh-CN"/>
        </w:rPr>
        <w:t>者</w:t>
      </w:r>
      <w:r>
        <w:rPr>
          <w:rFonts w:hint="eastAsia" w:ascii="仿宋" w:hAnsi="仿宋" w:eastAsia="仿宋"/>
          <w:sz w:val="32"/>
          <w:szCs w:val="32"/>
          <w:highlight w:val="none"/>
          <w:u w:val="none"/>
        </w:rPr>
        <w:t>补充</w:t>
      </w:r>
      <w:r>
        <w:rPr>
          <w:rFonts w:hint="eastAsia" w:ascii="仿宋" w:hAnsi="仿宋" w:eastAsia="仿宋"/>
          <w:sz w:val="32"/>
          <w:szCs w:val="32"/>
          <w:highlight w:val="none"/>
          <w:u w:val="none"/>
          <w:lang w:eastAsia="zh-CN"/>
        </w:rPr>
        <w:t>。</w:t>
      </w:r>
      <w:r>
        <w:rPr>
          <w:rFonts w:hint="eastAsia" w:ascii="仿宋" w:hAnsi="仿宋" w:eastAsia="仿宋"/>
          <w:sz w:val="32"/>
          <w:szCs w:val="32"/>
          <w:highlight w:val="none"/>
          <w:u w:val="none"/>
        </w:rPr>
        <w:t>经双方签字盖章后，有关本协议的修改协议和补充协议作为本协议的组成部分，与本协议具有同等效力。</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第十</w:t>
      </w:r>
      <w:r>
        <w:rPr>
          <w:rFonts w:hint="eastAsia" w:ascii="仿宋" w:hAnsi="仿宋" w:eastAsia="仿宋"/>
          <w:b/>
          <w:sz w:val="32"/>
          <w:szCs w:val="32"/>
          <w:highlight w:val="none"/>
          <w:u w:val="none"/>
          <w:lang w:eastAsia="zh-CN"/>
        </w:rPr>
        <w:t>六</w:t>
      </w:r>
      <w:r>
        <w:rPr>
          <w:rFonts w:hint="eastAsia" w:ascii="仿宋" w:hAnsi="仿宋" w:eastAsia="仿宋"/>
          <w:b/>
          <w:sz w:val="32"/>
          <w:szCs w:val="32"/>
          <w:highlight w:val="none"/>
          <w:u w:val="none"/>
        </w:rPr>
        <w:t>条</w:t>
      </w:r>
      <w:r>
        <w:rPr>
          <w:rFonts w:hint="eastAsia" w:ascii="仿宋" w:hAnsi="仿宋" w:eastAsia="仿宋"/>
          <w:sz w:val="32"/>
          <w:szCs w:val="32"/>
          <w:highlight w:val="none"/>
          <w:u w:val="none"/>
        </w:rPr>
        <w:t xml:space="preserve"> 因本协议的签订及履行引起的一切争议及纠纷，双方应当首先通过友好协商解决。如</w:t>
      </w:r>
      <w:r>
        <w:rPr>
          <w:rFonts w:hint="eastAsia" w:ascii="仿宋" w:hAnsi="仿宋" w:eastAsia="仿宋"/>
          <w:sz w:val="32"/>
          <w:szCs w:val="32"/>
          <w:highlight w:val="none"/>
          <w:u w:val="none"/>
          <w:lang w:eastAsia="zh-CN"/>
        </w:rPr>
        <w:t>果</w:t>
      </w:r>
      <w:r>
        <w:rPr>
          <w:rFonts w:hint="eastAsia" w:ascii="仿宋" w:hAnsi="仿宋" w:eastAsia="仿宋"/>
          <w:sz w:val="32"/>
          <w:szCs w:val="32"/>
          <w:highlight w:val="none"/>
          <w:u w:val="none"/>
        </w:rPr>
        <w:t>未能通过协商解决的，任何一方均有权提交深圳国际仲裁院仲裁。</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第</w:t>
      </w:r>
      <w:r>
        <w:rPr>
          <w:rFonts w:hint="eastAsia" w:ascii="仿宋" w:hAnsi="仿宋" w:eastAsia="仿宋"/>
          <w:b/>
          <w:sz w:val="32"/>
          <w:szCs w:val="32"/>
          <w:highlight w:val="none"/>
          <w:u w:val="none"/>
          <w:lang w:eastAsia="zh-CN"/>
        </w:rPr>
        <w:t>十七</w:t>
      </w:r>
      <w:r>
        <w:rPr>
          <w:rFonts w:hint="eastAsia" w:ascii="仿宋" w:hAnsi="仿宋" w:eastAsia="仿宋"/>
          <w:b/>
          <w:sz w:val="32"/>
          <w:szCs w:val="32"/>
          <w:highlight w:val="none"/>
          <w:u w:val="none"/>
        </w:rPr>
        <w:t>条</w:t>
      </w:r>
      <w:r>
        <w:rPr>
          <w:rFonts w:hint="eastAsia" w:ascii="仿宋" w:hAnsi="仿宋" w:eastAsia="仿宋"/>
          <w:b/>
          <w:sz w:val="32"/>
          <w:szCs w:val="32"/>
          <w:highlight w:val="none"/>
          <w:u w:val="none"/>
          <w:lang w:val="en-US" w:eastAsia="zh-CN"/>
        </w:rPr>
        <w:t xml:space="preserve"> </w:t>
      </w:r>
      <w:r>
        <w:rPr>
          <w:rFonts w:hint="eastAsia" w:ascii="仿宋" w:hAnsi="仿宋" w:eastAsia="仿宋"/>
          <w:sz w:val="32"/>
          <w:szCs w:val="32"/>
          <w:highlight w:val="none"/>
          <w:u w:val="none"/>
        </w:rPr>
        <w:t>本协议的执行与解释适用中华人民共和国法律。</w:t>
      </w:r>
    </w:p>
    <w:p>
      <w:pPr>
        <w:spacing w:line="540" w:lineRule="exact"/>
        <w:ind w:firstLine="0"/>
        <w:rPr>
          <w:rFonts w:ascii="仿宋" w:hAnsi="仿宋" w:eastAsia="仿宋"/>
          <w:sz w:val="32"/>
          <w:szCs w:val="32"/>
          <w:highlight w:val="none"/>
          <w:u w:val="none"/>
        </w:rPr>
      </w:pPr>
      <w:r>
        <w:rPr>
          <w:rFonts w:hint="eastAsia" w:ascii="仿宋" w:hAnsi="仿宋" w:eastAsia="仿宋"/>
          <w:b/>
          <w:sz w:val="32"/>
          <w:szCs w:val="32"/>
          <w:highlight w:val="none"/>
          <w:u w:val="none"/>
        </w:rPr>
        <w:t>第</w:t>
      </w:r>
      <w:r>
        <w:rPr>
          <w:rFonts w:hint="eastAsia" w:ascii="仿宋" w:hAnsi="仿宋" w:eastAsia="仿宋"/>
          <w:b/>
          <w:sz w:val="32"/>
          <w:szCs w:val="32"/>
          <w:highlight w:val="none"/>
          <w:u w:val="none"/>
          <w:lang w:eastAsia="zh-CN"/>
        </w:rPr>
        <w:t>十八</w:t>
      </w:r>
      <w:r>
        <w:rPr>
          <w:rFonts w:hint="eastAsia" w:ascii="仿宋" w:hAnsi="仿宋" w:eastAsia="仿宋"/>
          <w:b/>
          <w:sz w:val="32"/>
          <w:szCs w:val="32"/>
          <w:highlight w:val="none"/>
          <w:u w:val="none"/>
        </w:rPr>
        <w:t>条</w:t>
      </w:r>
      <w:r>
        <w:rPr>
          <w:rFonts w:hint="eastAsia" w:ascii="仿宋" w:hAnsi="仿宋" w:eastAsia="仿宋"/>
          <w:sz w:val="32"/>
          <w:szCs w:val="32"/>
          <w:highlight w:val="none"/>
          <w:u w:val="none"/>
        </w:rPr>
        <w:t xml:space="preserve"> 本协议自甲乙双方盖章并由双方授权代表签字后生效</w:t>
      </w:r>
      <w:r>
        <w:rPr>
          <w:rFonts w:hint="eastAsia" w:ascii="仿宋" w:hAnsi="仿宋" w:eastAsia="仿宋"/>
          <w:sz w:val="32"/>
          <w:szCs w:val="32"/>
          <w:highlight w:val="none"/>
          <w:u w:val="none"/>
          <w:lang w:eastAsia="zh-CN"/>
        </w:rPr>
        <w:t>。</w:t>
      </w:r>
    </w:p>
    <w:p>
      <w:pPr>
        <w:spacing w:line="540" w:lineRule="exact"/>
        <w:ind w:firstLine="0"/>
        <w:rPr>
          <w:rFonts w:hint="eastAsia" w:ascii="仿宋" w:hAnsi="仿宋" w:eastAsia="仿宋"/>
          <w:sz w:val="32"/>
          <w:szCs w:val="32"/>
          <w:highlight w:val="none"/>
          <w:u w:val="none"/>
        </w:rPr>
      </w:pPr>
      <w:r>
        <w:rPr>
          <w:rFonts w:hint="eastAsia" w:ascii="仿宋" w:hAnsi="仿宋" w:eastAsia="仿宋"/>
          <w:b/>
          <w:sz w:val="32"/>
          <w:szCs w:val="32"/>
          <w:highlight w:val="none"/>
          <w:u w:val="none"/>
        </w:rPr>
        <w:t>第</w:t>
      </w:r>
      <w:r>
        <w:rPr>
          <w:rFonts w:hint="eastAsia" w:ascii="仿宋" w:hAnsi="仿宋" w:eastAsia="仿宋"/>
          <w:b/>
          <w:sz w:val="32"/>
          <w:szCs w:val="32"/>
          <w:highlight w:val="none"/>
          <w:u w:val="none"/>
          <w:lang w:eastAsia="zh-CN"/>
        </w:rPr>
        <w:t>十九</w:t>
      </w:r>
      <w:r>
        <w:rPr>
          <w:rFonts w:hint="eastAsia" w:ascii="仿宋" w:hAnsi="仿宋" w:eastAsia="仿宋"/>
          <w:b/>
          <w:sz w:val="32"/>
          <w:szCs w:val="32"/>
          <w:highlight w:val="none"/>
          <w:u w:val="none"/>
        </w:rPr>
        <w:t>条</w:t>
      </w:r>
      <w:r>
        <w:rPr>
          <w:rFonts w:hint="eastAsia" w:ascii="仿宋" w:hAnsi="仿宋" w:eastAsia="仿宋"/>
          <w:sz w:val="32"/>
          <w:szCs w:val="32"/>
          <w:highlight w:val="none"/>
          <w:u w:val="none"/>
        </w:rPr>
        <w:t xml:space="preserve"> 本协议一式</w:t>
      </w:r>
      <w:r>
        <w:rPr>
          <w:rFonts w:hint="eastAsia" w:ascii="仿宋" w:hAnsi="仿宋" w:eastAsia="仿宋"/>
          <w:sz w:val="32"/>
          <w:szCs w:val="32"/>
          <w:highlight w:val="none"/>
          <w:u w:val="none"/>
          <w:lang w:eastAsia="zh-CN"/>
        </w:rPr>
        <w:t>肆</w:t>
      </w:r>
      <w:r>
        <w:rPr>
          <w:rFonts w:hint="eastAsia" w:ascii="仿宋" w:hAnsi="仿宋" w:eastAsia="仿宋"/>
          <w:sz w:val="32"/>
          <w:szCs w:val="32"/>
          <w:highlight w:val="none"/>
          <w:u w:val="none"/>
        </w:rPr>
        <w:t>份，双方各执</w:t>
      </w:r>
      <w:r>
        <w:rPr>
          <w:rFonts w:hint="eastAsia" w:ascii="仿宋" w:hAnsi="仿宋" w:eastAsia="仿宋"/>
          <w:sz w:val="32"/>
          <w:szCs w:val="32"/>
          <w:highlight w:val="none"/>
          <w:u w:val="none"/>
          <w:lang w:eastAsia="zh-CN"/>
        </w:rPr>
        <w:t>贰</w:t>
      </w:r>
      <w:r>
        <w:rPr>
          <w:rFonts w:hint="eastAsia" w:ascii="仿宋" w:hAnsi="仿宋" w:eastAsia="仿宋"/>
          <w:sz w:val="32"/>
          <w:szCs w:val="32"/>
          <w:highlight w:val="none"/>
          <w:u w:val="none"/>
        </w:rPr>
        <w:t>份，具有同等法律效力。</w:t>
      </w:r>
    </w:p>
    <w:p>
      <w:pPr>
        <w:spacing w:line="540" w:lineRule="exact"/>
        <w:ind w:firstLine="0" w:firstLineChars="0"/>
        <w:rPr>
          <w:rFonts w:ascii="仿宋" w:hAnsi="仿宋" w:eastAsia="仿宋"/>
          <w:sz w:val="32"/>
          <w:szCs w:val="32"/>
          <w:highlight w:val="none"/>
        </w:rPr>
      </w:pPr>
    </w:p>
    <w:p>
      <w:pPr>
        <w:spacing w:line="540" w:lineRule="exact"/>
        <w:ind w:firstLine="0" w:firstLineChars="0"/>
        <w:rPr>
          <w:rFonts w:ascii="仿宋" w:hAnsi="仿宋" w:eastAsia="仿宋"/>
          <w:sz w:val="32"/>
          <w:szCs w:val="32"/>
          <w:highlight w:val="none"/>
        </w:rPr>
      </w:pPr>
    </w:p>
    <w:tbl>
      <w:tblPr>
        <w:tblStyle w:val="3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4"/>
        <w:gridCol w:w="4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pct"/>
          </w:tcPr>
          <w:p>
            <w:pPr>
              <w:spacing w:line="540" w:lineRule="exact"/>
              <w:ind w:firstLine="0" w:firstLineChars="0"/>
              <w:rPr>
                <w:rFonts w:hint="eastAsia" w:ascii="仿宋" w:hAnsi="仿宋" w:eastAsia="仿宋"/>
                <w:kern w:val="0"/>
                <w:sz w:val="32"/>
                <w:szCs w:val="32"/>
                <w:highlight w:val="none"/>
              </w:rPr>
            </w:pPr>
            <w:r>
              <w:rPr>
                <w:rFonts w:hint="eastAsia" w:ascii="仿宋" w:hAnsi="仿宋" w:eastAsia="仿宋"/>
                <w:kern w:val="0"/>
                <w:sz w:val="32"/>
                <w:szCs w:val="32"/>
                <w:highlight w:val="none"/>
              </w:rPr>
              <w:t>甲方：深圳证券交易所</w:t>
            </w:r>
          </w:p>
          <w:p>
            <w:pPr>
              <w:spacing w:line="540" w:lineRule="exact"/>
              <w:ind w:firstLine="0" w:firstLineChars="0"/>
              <w:rPr>
                <w:rFonts w:hint="eastAsia" w:ascii="仿宋" w:hAnsi="仿宋" w:eastAsia="仿宋"/>
                <w:kern w:val="0"/>
                <w:sz w:val="32"/>
                <w:szCs w:val="32"/>
                <w:highlight w:val="none"/>
              </w:rPr>
            </w:pPr>
          </w:p>
        </w:tc>
        <w:tc>
          <w:tcPr>
            <w:tcW w:w="2467" w:type="pct"/>
          </w:tcPr>
          <w:p>
            <w:pPr>
              <w:spacing w:line="540" w:lineRule="exact"/>
              <w:ind w:firstLine="0" w:firstLineChars="0"/>
              <w:rPr>
                <w:rFonts w:ascii="仿宋" w:hAnsi="仿宋" w:eastAsia="仿宋"/>
                <w:kern w:val="0"/>
                <w:sz w:val="32"/>
                <w:szCs w:val="32"/>
                <w:highlight w:val="none"/>
              </w:rPr>
            </w:pPr>
            <w:r>
              <w:rPr>
                <w:rFonts w:hint="eastAsia" w:ascii="仿宋" w:hAnsi="仿宋" w:eastAsia="仿宋"/>
                <w:kern w:val="0"/>
                <w:sz w:val="32"/>
                <w:szCs w:val="32"/>
                <w:highlight w:val="none"/>
              </w:rPr>
              <w:t>乙方：</w:t>
            </w:r>
          </w:p>
          <w:p>
            <w:pPr>
              <w:spacing w:line="540" w:lineRule="exact"/>
              <w:ind w:firstLine="0" w:firstLineChars="0"/>
              <w:rPr>
                <w:rFonts w:ascii="仿宋" w:hAnsi="仿宋" w:eastAsia="仿宋"/>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pct"/>
          </w:tcPr>
          <w:p>
            <w:pPr>
              <w:spacing w:line="540" w:lineRule="exact"/>
              <w:ind w:firstLine="0" w:firstLineChars="0"/>
              <w:rPr>
                <w:rFonts w:hint="eastAsia" w:ascii="仿宋" w:hAnsi="仿宋" w:eastAsia="仿宋"/>
                <w:kern w:val="0"/>
                <w:sz w:val="32"/>
                <w:szCs w:val="32"/>
                <w:highlight w:val="none"/>
              </w:rPr>
            </w:pPr>
            <w:r>
              <w:rPr>
                <w:rFonts w:hint="eastAsia" w:ascii="仿宋" w:hAnsi="仿宋" w:eastAsia="仿宋"/>
                <w:kern w:val="0"/>
                <w:sz w:val="32"/>
                <w:szCs w:val="32"/>
                <w:highlight w:val="none"/>
              </w:rPr>
              <w:t>（单位盖章）</w:t>
            </w:r>
          </w:p>
          <w:p>
            <w:pPr>
              <w:spacing w:line="540" w:lineRule="exact"/>
              <w:ind w:firstLine="0" w:firstLineChars="0"/>
              <w:rPr>
                <w:rFonts w:hint="eastAsia" w:ascii="仿宋" w:hAnsi="仿宋" w:eastAsia="仿宋"/>
                <w:kern w:val="0"/>
                <w:sz w:val="32"/>
                <w:szCs w:val="32"/>
                <w:highlight w:val="none"/>
              </w:rPr>
            </w:pPr>
          </w:p>
        </w:tc>
        <w:tc>
          <w:tcPr>
            <w:tcW w:w="2467" w:type="pct"/>
          </w:tcPr>
          <w:p>
            <w:pPr>
              <w:spacing w:line="540" w:lineRule="exact"/>
              <w:ind w:firstLine="0" w:firstLineChars="0"/>
              <w:rPr>
                <w:rFonts w:ascii="仿宋" w:hAnsi="仿宋" w:eastAsia="仿宋"/>
                <w:kern w:val="0"/>
                <w:sz w:val="32"/>
                <w:szCs w:val="32"/>
                <w:highlight w:val="none"/>
              </w:rPr>
            </w:pPr>
            <w:r>
              <w:rPr>
                <w:rFonts w:hint="eastAsia" w:ascii="仿宋" w:hAnsi="仿宋" w:eastAsia="仿宋"/>
                <w:kern w:val="0"/>
                <w:sz w:val="32"/>
                <w:szCs w:val="32"/>
                <w:highlight w:val="none"/>
              </w:rPr>
              <w:t>（</w:t>
            </w:r>
            <w:r>
              <w:rPr>
                <w:rFonts w:hint="eastAsia" w:ascii="仿宋" w:hAnsi="仿宋" w:eastAsia="仿宋"/>
                <w:kern w:val="0"/>
                <w:sz w:val="32"/>
                <w:szCs w:val="32"/>
                <w:highlight w:val="none"/>
                <w:lang w:eastAsia="zh-CN"/>
              </w:rPr>
              <w:t>单位</w:t>
            </w:r>
            <w:r>
              <w:rPr>
                <w:rFonts w:hint="eastAsia" w:ascii="仿宋" w:hAnsi="仿宋" w:eastAsia="仿宋"/>
                <w:kern w:val="0"/>
                <w:sz w:val="32"/>
                <w:szCs w:val="32"/>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2532" w:type="pct"/>
          </w:tcPr>
          <w:p>
            <w:pPr>
              <w:spacing w:line="540" w:lineRule="exact"/>
              <w:ind w:firstLine="0" w:firstLineChars="0"/>
              <w:rPr>
                <w:rFonts w:hint="eastAsia" w:ascii="仿宋" w:hAnsi="仿宋" w:eastAsia="仿宋"/>
                <w:kern w:val="0"/>
                <w:sz w:val="32"/>
                <w:szCs w:val="32"/>
                <w:highlight w:val="none"/>
              </w:rPr>
            </w:pPr>
            <w:r>
              <w:rPr>
                <w:rFonts w:hint="eastAsia" w:ascii="仿宋" w:hAnsi="仿宋" w:eastAsia="仿宋"/>
                <w:kern w:val="0"/>
                <w:sz w:val="32"/>
                <w:szCs w:val="32"/>
                <w:highlight w:val="none"/>
              </w:rPr>
              <w:t>地址：广东省深圳市福田区深南大道2012号</w:t>
            </w:r>
          </w:p>
          <w:p>
            <w:pPr>
              <w:spacing w:line="540" w:lineRule="exact"/>
              <w:ind w:firstLine="0" w:firstLineChars="0"/>
              <w:rPr>
                <w:rFonts w:ascii="仿宋" w:hAnsi="仿宋" w:eastAsia="仿宋"/>
                <w:kern w:val="0"/>
                <w:sz w:val="32"/>
                <w:szCs w:val="32"/>
                <w:highlight w:val="none"/>
              </w:rPr>
            </w:pPr>
          </w:p>
        </w:tc>
        <w:tc>
          <w:tcPr>
            <w:tcW w:w="2467" w:type="pct"/>
          </w:tcPr>
          <w:p>
            <w:pPr>
              <w:spacing w:line="540" w:lineRule="exact"/>
              <w:ind w:firstLine="0" w:firstLineChars="0"/>
              <w:rPr>
                <w:rFonts w:ascii="仿宋" w:hAnsi="仿宋" w:eastAsia="仿宋"/>
                <w:kern w:val="0"/>
                <w:sz w:val="32"/>
                <w:szCs w:val="32"/>
                <w:highlight w:val="none"/>
              </w:rPr>
            </w:pPr>
            <w:r>
              <w:rPr>
                <w:rFonts w:hint="eastAsia" w:ascii="仿宋" w:hAnsi="仿宋" w:eastAsia="仿宋"/>
                <w:kern w:val="0"/>
                <w:sz w:val="32"/>
                <w:szCs w:val="32"/>
                <w:highlight w:val="none"/>
              </w:rPr>
              <w:t>地址：</w:t>
            </w:r>
          </w:p>
          <w:p>
            <w:pPr>
              <w:spacing w:line="540" w:lineRule="exact"/>
              <w:ind w:firstLine="0" w:firstLineChars="0"/>
              <w:rPr>
                <w:rFonts w:ascii="仿宋" w:hAnsi="仿宋" w:eastAsia="仿宋"/>
                <w:kern w:val="0"/>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32" w:type="pct"/>
          </w:tcPr>
          <w:p>
            <w:pPr>
              <w:spacing w:line="540" w:lineRule="exact"/>
              <w:ind w:firstLine="0" w:firstLineChars="0"/>
              <w:rPr>
                <w:rFonts w:hint="eastAsia" w:ascii="仿宋" w:hAnsi="仿宋" w:eastAsia="仿宋"/>
                <w:kern w:val="0"/>
                <w:sz w:val="32"/>
                <w:szCs w:val="32"/>
                <w:highlight w:val="none"/>
              </w:rPr>
            </w:pPr>
            <w:r>
              <w:rPr>
                <w:rFonts w:hint="eastAsia" w:ascii="仿宋" w:hAnsi="仿宋" w:eastAsia="仿宋"/>
                <w:kern w:val="0"/>
                <w:sz w:val="32"/>
                <w:szCs w:val="32"/>
                <w:highlight w:val="none"/>
              </w:rPr>
              <w:t>授权代表签字：</w:t>
            </w:r>
          </w:p>
          <w:p>
            <w:pPr>
              <w:spacing w:line="540" w:lineRule="exact"/>
              <w:ind w:firstLine="0" w:firstLineChars="0"/>
              <w:rPr>
                <w:rFonts w:hint="eastAsia" w:ascii="仿宋" w:hAnsi="仿宋" w:eastAsia="仿宋"/>
                <w:kern w:val="0"/>
                <w:sz w:val="32"/>
                <w:szCs w:val="32"/>
                <w:highlight w:val="none"/>
              </w:rPr>
            </w:pPr>
          </w:p>
        </w:tc>
        <w:tc>
          <w:tcPr>
            <w:tcW w:w="2467" w:type="pct"/>
          </w:tcPr>
          <w:p>
            <w:pPr>
              <w:spacing w:line="540" w:lineRule="exact"/>
              <w:ind w:firstLine="0" w:firstLineChars="0"/>
              <w:rPr>
                <w:rFonts w:ascii="仿宋" w:hAnsi="仿宋" w:eastAsia="仿宋"/>
                <w:kern w:val="0"/>
                <w:sz w:val="32"/>
                <w:szCs w:val="32"/>
                <w:highlight w:val="none"/>
              </w:rPr>
            </w:pPr>
            <w:r>
              <w:rPr>
                <w:rFonts w:hint="eastAsia" w:ascii="仿宋" w:hAnsi="仿宋" w:eastAsia="仿宋"/>
                <w:kern w:val="0"/>
                <w:sz w:val="32"/>
                <w:szCs w:val="32"/>
                <w:highlight w:val="none"/>
              </w:rPr>
              <w:t>授权代表签字：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32" w:type="pct"/>
          </w:tcPr>
          <w:p>
            <w:pPr>
              <w:spacing w:line="540" w:lineRule="exact"/>
              <w:ind w:firstLine="0" w:firstLineChars="0"/>
              <w:rPr>
                <w:rFonts w:ascii="仿宋" w:hAnsi="仿宋" w:eastAsia="仿宋"/>
                <w:kern w:val="0"/>
                <w:sz w:val="32"/>
                <w:szCs w:val="32"/>
                <w:highlight w:val="none"/>
              </w:rPr>
            </w:pPr>
            <w:r>
              <w:rPr>
                <w:rFonts w:hint="eastAsia" w:ascii="仿宋" w:hAnsi="仿宋" w:eastAsia="仿宋"/>
                <w:kern w:val="0"/>
                <w:sz w:val="32"/>
                <w:szCs w:val="32"/>
                <w:highlight w:val="none"/>
              </w:rPr>
              <w:t>日期：</w:t>
            </w:r>
          </w:p>
        </w:tc>
        <w:tc>
          <w:tcPr>
            <w:tcW w:w="2467" w:type="pct"/>
          </w:tcPr>
          <w:p>
            <w:pPr>
              <w:spacing w:line="540" w:lineRule="exact"/>
              <w:ind w:firstLine="0" w:firstLineChars="0"/>
              <w:rPr>
                <w:rFonts w:ascii="仿宋" w:hAnsi="仿宋" w:eastAsia="仿宋"/>
                <w:kern w:val="0"/>
                <w:sz w:val="32"/>
                <w:szCs w:val="32"/>
                <w:highlight w:val="none"/>
              </w:rPr>
            </w:pPr>
            <w:r>
              <w:rPr>
                <w:rFonts w:hint="eastAsia" w:ascii="仿宋" w:hAnsi="仿宋" w:eastAsia="仿宋"/>
                <w:kern w:val="0"/>
                <w:sz w:val="32"/>
                <w:szCs w:val="32"/>
                <w:highlight w:val="none"/>
              </w:rPr>
              <w:t>日期：</w:t>
            </w:r>
          </w:p>
        </w:tc>
      </w:tr>
    </w:tbl>
    <w:p>
      <w:pPr>
        <w:spacing w:line="560" w:lineRule="exact"/>
        <w:ind w:firstLine="0" w:firstLineChars="0"/>
        <w:rPr>
          <w:rFonts w:ascii="仿宋" w:hAnsi="仿宋"/>
          <w:sz w:val="32"/>
        </w:rPr>
      </w:pPr>
    </w:p>
    <w:p>
      <w:pPr>
        <w:adjustRightInd w:val="0"/>
        <w:snapToGrid w:val="0"/>
        <w:spacing w:after="204" w:afterLines="50"/>
        <w:ind w:firstLine="0" w:firstLineChars="0"/>
        <w:outlineLvl w:val="0"/>
        <w:rPr>
          <w:rFonts w:ascii="仿宋" w:hAnsi="仿宋" w:eastAsia="方正小标宋简体"/>
          <w:sz w:val="21"/>
          <w:szCs w:val="21"/>
        </w:rPr>
      </w:pPr>
    </w:p>
    <w:sectPr>
      <w:footerReference r:id="rId12" w:type="first"/>
      <w:footerReference r:id="rId11" w:type="default"/>
      <w:pgSz w:w="11906" w:h="16838"/>
      <w:pgMar w:top="2098" w:right="1588" w:bottom="1985" w:left="1701" w:header="851" w:footer="992" w:gutter="0"/>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8343" w:y="-414"/>
      <w:tabs>
        <w:tab w:val="center" w:pos="4153"/>
        <w:tab w:val="right" w:pos="8306"/>
      </w:tabs>
      <w:snapToGrid w:val="0"/>
      <w:ind w:left="440" w:firstLine="56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 xml:space="preserve"> —</w:t>
    </w:r>
  </w:p>
  <w:p>
    <w:pPr>
      <w:pStyle w:val="19"/>
      <w:ind w:firstLine="420"/>
      <w:jc w:val="center"/>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879" w:y="-387"/>
      <w:tabs>
        <w:tab w:val="center" w:pos="4153"/>
        <w:tab w:val="right" w:pos="8306"/>
      </w:tabs>
      <w:snapToGrid w:val="0"/>
      <w:ind w:left="440" w:firstLine="56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44</w:t>
    </w:r>
    <w:r>
      <w:rPr>
        <w:rFonts w:ascii="宋体" w:hAnsi="宋体" w:eastAsia="宋体"/>
        <w:sz w:val="28"/>
        <w:szCs w:val="28"/>
      </w:rPr>
      <w:fldChar w:fldCharType="end"/>
    </w:r>
    <w:r>
      <w:rPr>
        <w:rFonts w:hint="eastAsia" w:ascii="宋体" w:hAnsi="宋体" w:eastAsia="宋体"/>
        <w:sz w:val="28"/>
        <w:szCs w:val="28"/>
      </w:rPr>
      <w:t xml:space="preserve"> —</w:t>
    </w:r>
  </w:p>
  <w:p>
    <w:pPr>
      <w:pStyle w:val="19"/>
      <w:tabs>
        <w:tab w:val="left" w:pos="1774"/>
        <w:tab w:val="clear" w:pos="4153"/>
        <w:tab w:val="clear" w:pos="8306"/>
      </w:tabs>
      <w:ind w:firstLine="0" w:firstLineChars="0"/>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3604826"/>
      <w:docPartObj>
        <w:docPartGallery w:val="autotext"/>
      </w:docPartObj>
    </w:sdtPr>
    <w:sdtEndPr>
      <w:rPr>
        <w:rFonts w:ascii="Times New Roman" w:hAnsi="Times New Roman"/>
        <w:sz w:val="21"/>
      </w:rPr>
    </w:sdtEndPr>
    <w:sdtContent>
      <w:p>
        <w:pPr>
          <w:pStyle w:val="19"/>
          <w:ind w:firstLine="0" w:firstLineChars="0"/>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lang w:val="zh-CN" w:eastAsia="zh-CN"/>
          </w:rPr>
          <w:t>1</w:t>
        </w:r>
        <w:r>
          <w:rPr>
            <w:rFonts w:ascii="Times New Roman" w:hAnsi="Times New Roman"/>
            <w:sz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page" w:x="8343" w:y="-396"/>
      <w:tabs>
        <w:tab w:val="center" w:pos="4153"/>
        <w:tab w:val="right" w:pos="8306"/>
      </w:tabs>
      <w:snapToGrid w:val="0"/>
      <w:ind w:left="440" w:firstLine="560"/>
      <w:jc w:val="lef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w:instrText>
    </w:r>
    <w:r>
      <w:rPr>
        <w:rFonts w:ascii="宋体" w:hAnsi="宋体" w:eastAsia="宋体"/>
        <w:sz w:val="28"/>
        <w:szCs w:val="28"/>
      </w:rPr>
      <w:fldChar w:fldCharType="separate"/>
    </w:r>
    <w:r>
      <w:rPr>
        <w:rFonts w:ascii="宋体" w:hAnsi="宋体" w:eastAsia="宋体"/>
        <w:sz w:val="28"/>
        <w:szCs w:val="28"/>
      </w:rPr>
      <w:t>43</w:t>
    </w:r>
    <w:r>
      <w:rPr>
        <w:rFonts w:ascii="宋体" w:hAnsi="宋体" w:eastAsia="宋体"/>
        <w:sz w:val="28"/>
        <w:szCs w:val="28"/>
      </w:rPr>
      <w:fldChar w:fldCharType="end"/>
    </w:r>
    <w:r>
      <w:rPr>
        <w:rFonts w:hint="eastAsia" w:ascii="宋体" w:hAnsi="宋体" w:eastAsia="宋体"/>
        <w:sz w:val="28"/>
        <w:szCs w:val="28"/>
      </w:rPr>
      <w:t xml:space="preserve"> —</w:t>
    </w:r>
  </w:p>
  <w:p>
    <w:pPr>
      <w:pStyle w:val="19"/>
      <w:ind w:firstLine="420"/>
      <w:jc w:val="center"/>
      <w:rPr>
        <w:rFonts w:ascii="Times New Roman" w:hAnsi="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681725"/>
      <w:docPartObj>
        <w:docPartGallery w:val="autotext"/>
      </w:docPartObj>
    </w:sdtPr>
    <w:sdtEndPr>
      <w:rPr>
        <w:rFonts w:ascii="Times New Roman" w:hAnsi="Times New Roman"/>
        <w:sz w:val="21"/>
      </w:rPr>
    </w:sdtEndPr>
    <w:sdtContent>
      <w:p>
        <w:pPr>
          <w:pStyle w:val="19"/>
          <w:spacing w:before="24"/>
          <w:ind w:firstLine="0" w:firstLineChars="0"/>
          <w:jc w:val="center"/>
          <w:rPr>
            <w:rFonts w:ascii="Times New Roman" w:hAnsi="Times New Roman"/>
            <w:sz w:val="21"/>
          </w:rPr>
        </w:pPr>
        <w:r>
          <w:rPr>
            <w:rFonts w:ascii="Times New Roman" w:hAnsi="Times New Roman"/>
            <w:sz w:val="21"/>
          </w:rPr>
          <w:fldChar w:fldCharType="begin"/>
        </w:r>
        <w:r>
          <w:rPr>
            <w:rFonts w:ascii="Times New Roman" w:hAnsi="Times New Roman"/>
            <w:sz w:val="21"/>
          </w:rPr>
          <w:instrText xml:space="preserve">PAGE   \* MERGEFORMAT</w:instrText>
        </w:r>
        <w:r>
          <w:rPr>
            <w:rFonts w:ascii="Times New Roman" w:hAnsi="Times New Roman"/>
            <w:sz w:val="21"/>
          </w:rPr>
          <w:fldChar w:fldCharType="separate"/>
        </w:r>
        <w:r>
          <w:rPr>
            <w:rFonts w:ascii="Times New Roman" w:hAnsi="Times New Roman"/>
            <w:sz w:val="21"/>
            <w:lang w:val="zh-CN" w:eastAsia="zh-CN"/>
          </w:rPr>
          <w:t>2</w:t>
        </w:r>
        <w:r>
          <w:rPr>
            <w:rFonts w:ascii="Times New Roman" w:hAnsi="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firstLine="36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0F7D49"/>
    <w:multiLevelType w:val="singleLevel"/>
    <w:tmpl w:val="3D0F7D49"/>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evenAndOddHeaders w:val="1"/>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16"/>
    <w:rsid w:val="0000019E"/>
    <w:rsid w:val="000005E1"/>
    <w:rsid w:val="0000109E"/>
    <w:rsid w:val="000011D3"/>
    <w:rsid w:val="00001366"/>
    <w:rsid w:val="000014FC"/>
    <w:rsid w:val="00001579"/>
    <w:rsid w:val="0000174D"/>
    <w:rsid w:val="00001DFE"/>
    <w:rsid w:val="00002FD2"/>
    <w:rsid w:val="00003139"/>
    <w:rsid w:val="00003D3E"/>
    <w:rsid w:val="00003FAD"/>
    <w:rsid w:val="00004B00"/>
    <w:rsid w:val="000055CE"/>
    <w:rsid w:val="00005712"/>
    <w:rsid w:val="00005782"/>
    <w:rsid w:val="00005880"/>
    <w:rsid w:val="0000799E"/>
    <w:rsid w:val="00010465"/>
    <w:rsid w:val="00010B5C"/>
    <w:rsid w:val="000119F3"/>
    <w:rsid w:val="00011BF4"/>
    <w:rsid w:val="00012267"/>
    <w:rsid w:val="00015048"/>
    <w:rsid w:val="00015802"/>
    <w:rsid w:val="00016A43"/>
    <w:rsid w:val="00016F17"/>
    <w:rsid w:val="000175D0"/>
    <w:rsid w:val="00017D3A"/>
    <w:rsid w:val="00020000"/>
    <w:rsid w:val="00020075"/>
    <w:rsid w:val="00020086"/>
    <w:rsid w:val="00021268"/>
    <w:rsid w:val="000214CC"/>
    <w:rsid w:val="00021621"/>
    <w:rsid w:val="00021929"/>
    <w:rsid w:val="00021D4A"/>
    <w:rsid w:val="000225F5"/>
    <w:rsid w:val="00022EB2"/>
    <w:rsid w:val="0002315E"/>
    <w:rsid w:val="00023185"/>
    <w:rsid w:val="00023744"/>
    <w:rsid w:val="00023E33"/>
    <w:rsid w:val="00023F15"/>
    <w:rsid w:val="00024389"/>
    <w:rsid w:val="00025AF1"/>
    <w:rsid w:val="00026E11"/>
    <w:rsid w:val="000319DE"/>
    <w:rsid w:val="00031EE5"/>
    <w:rsid w:val="00033462"/>
    <w:rsid w:val="00035113"/>
    <w:rsid w:val="00035136"/>
    <w:rsid w:val="0003563A"/>
    <w:rsid w:val="00035B2F"/>
    <w:rsid w:val="00035D19"/>
    <w:rsid w:val="00035D56"/>
    <w:rsid w:val="000360F3"/>
    <w:rsid w:val="00036A53"/>
    <w:rsid w:val="00037049"/>
    <w:rsid w:val="0004020C"/>
    <w:rsid w:val="00040FE7"/>
    <w:rsid w:val="00041046"/>
    <w:rsid w:val="000423C2"/>
    <w:rsid w:val="0004273B"/>
    <w:rsid w:val="000436F2"/>
    <w:rsid w:val="000442BC"/>
    <w:rsid w:val="0004439C"/>
    <w:rsid w:val="00044A4A"/>
    <w:rsid w:val="00044ADA"/>
    <w:rsid w:val="000461C7"/>
    <w:rsid w:val="00046C31"/>
    <w:rsid w:val="00046E62"/>
    <w:rsid w:val="00047457"/>
    <w:rsid w:val="0004760D"/>
    <w:rsid w:val="000509E7"/>
    <w:rsid w:val="00050DB7"/>
    <w:rsid w:val="00050DC6"/>
    <w:rsid w:val="000518F7"/>
    <w:rsid w:val="000519D6"/>
    <w:rsid w:val="000531F5"/>
    <w:rsid w:val="00053CD1"/>
    <w:rsid w:val="00053D09"/>
    <w:rsid w:val="0005456C"/>
    <w:rsid w:val="00054972"/>
    <w:rsid w:val="00054D2B"/>
    <w:rsid w:val="00055E52"/>
    <w:rsid w:val="00056AA6"/>
    <w:rsid w:val="00057AA2"/>
    <w:rsid w:val="00060160"/>
    <w:rsid w:val="00060221"/>
    <w:rsid w:val="00060B42"/>
    <w:rsid w:val="00060C23"/>
    <w:rsid w:val="000613E6"/>
    <w:rsid w:val="0006182F"/>
    <w:rsid w:val="000629AA"/>
    <w:rsid w:val="00062BB9"/>
    <w:rsid w:val="00062F90"/>
    <w:rsid w:val="00063C2C"/>
    <w:rsid w:val="00065895"/>
    <w:rsid w:val="00065EA3"/>
    <w:rsid w:val="00066080"/>
    <w:rsid w:val="00066300"/>
    <w:rsid w:val="00066C12"/>
    <w:rsid w:val="00066F9E"/>
    <w:rsid w:val="0006759B"/>
    <w:rsid w:val="000678FA"/>
    <w:rsid w:val="00067DD3"/>
    <w:rsid w:val="000705E2"/>
    <w:rsid w:val="00071435"/>
    <w:rsid w:val="00071F99"/>
    <w:rsid w:val="00072DCB"/>
    <w:rsid w:val="00073AD9"/>
    <w:rsid w:val="00074C5D"/>
    <w:rsid w:val="00075F69"/>
    <w:rsid w:val="00076827"/>
    <w:rsid w:val="000770BE"/>
    <w:rsid w:val="00077BF6"/>
    <w:rsid w:val="00077CA3"/>
    <w:rsid w:val="0008085C"/>
    <w:rsid w:val="00080E67"/>
    <w:rsid w:val="00080F04"/>
    <w:rsid w:val="000813CD"/>
    <w:rsid w:val="00081763"/>
    <w:rsid w:val="00081DF2"/>
    <w:rsid w:val="0008201A"/>
    <w:rsid w:val="00082289"/>
    <w:rsid w:val="000822E9"/>
    <w:rsid w:val="000827A6"/>
    <w:rsid w:val="0008291F"/>
    <w:rsid w:val="00082D84"/>
    <w:rsid w:val="00082E83"/>
    <w:rsid w:val="000838E7"/>
    <w:rsid w:val="000840D6"/>
    <w:rsid w:val="00084C0D"/>
    <w:rsid w:val="00085484"/>
    <w:rsid w:val="00085C7D"/>
    <w:rsid w:val="00086651"/>
    <w:rsid w:val="000869F0"/>
    <w:rsid w:val="00087490"/>
    <w:rsid w:val="000877DE"/>
    <w:rsid w:val="00087948"/>
    <w:rsid w:val="000901A1"/>
    <w:rsid w:val="0009103C"/>
    <w:rsid w:val="0009150B"/>
    <w:rsid w:val="00092BA8"/>
    <w:rsid w:val="00093178"/>
    <w:rsid w:val="00095AF4"/>
    <w:rsid w:val="00096C13"/>
    <w:rsid w:val="00097366"/>
    <w:rsid w:val="00097F34"/>
    <w:rsid w:val="000A06C3"/>
    <w:rsid w:val="000A0EFE"/>
    <w:rsid w:val="000A2237"/>
    <w:rsid w:val="000A2530"/>
    <w:rsid w:val="000A2881"/>
    <w:rsid w:val="000A29D3"/>
    <w:rsid w:val="000A2AAC"/>
    <w:rsid w:val="000A2B09"/>
    <w:rsid w:val="000A2B1D"/>
    <w:rsid w:val="000A2B82"/>
    <w:rsid w:val="000A40BA"/>
    <w:rsid w:val="000A4437"/>
    <w:rsid w:val="000A4482"/>
    <w:rsid w:val="000A45FF"/>
    <w:rsid w:val="000A584A"/>
    <w:rsid w:val="000A5921"/>
    <w:rsid w:val="000A5B74"/>
    <w:rsid w:val="000A6641"/>
    <w:rsid w:val="000A6AEF"/>
    <w:rsid w:val="000A6CB3"/>
    <w:rsid w:val="000A6CD8"/>
    <w:rsid w:val="000A709F"/>
    <w:rsid w:val="000A7388"/>
    <w:rsid w:val="000A73A4"/>
    <w:rsid w:val="000A7798"/>
    <w:rsid w:val="000A7993"/>
    <w:rsid w:val="000A7B6B"/>
    <w:rsid w:val="000B04DF"/>
    <w:rsid w:val="000B3578"/>
    <w:rsid w:val="000B3F97"/>
    <w:rsid w:val="000B4110"/>
    <w:rsid w:val="000B42F9"/>
    <w:rsid w:val="000B46D2"/>
    <w:rsid w:val="000B501D"/>
    <w:rsid w:val="000B5158"/>
    <w:rsid w:val="000B51A0"/>
    <w:rsid w:val="000B5DCD"/>
    <w:rsid w:val="000B648A"/>
    <w:rsid w:val="000B6928"/>
    <w:rsid w:val="000B6B4F"/>
    <w:rsid w:val="000B6D22"/>
    <w:rsid w:val="000C09D1"/>
    <w:rsid w:val="000C0C72"/>
    <w:rsid w:val="000C0F52"/>
    <w:rsid w:val="000C12ED"/>
    <w:rsid w:val="000C3179"/>
    <w:rsid w:val="000C3A8F"/>
    <w:rsid w:val="000C3B2D"/>
    <w:rsid w:val="000C3CB9"/>
    <w:rsid w:val="000C4385"/>
    <w:rsid w:val="000C4531"/>
    <w:rsid w:val="000C5B6D"/>
    <w:rsid w:val="000C64D7"/>
    <w:rsid w:val="000C6565"/>
    <w:rsid w:val="000C69A6"/>
    <w:rsid w:val="000C6D2E"/>
    <w:rsid w:val="000C7563"/>
    <w:rsid w:val="000C7B4C"/>
    <w:rsid w:val="000D074B"/>
    <w:rsid w:val="000D1B6D"/>
    <w:rsid w:val="000D2AA5"/>
    <w:rsid w:val="000D2AC5"/>
    <w:rsid w:val="000D39A3"/>
    <w:rsid w:val="000D3B4F"/>
    <w:rsid w:val="000D3F24"/>
    <w:rsid w:val="000D423C"/>
    <w:rsid w:val="000D4A01"/>
    <w:rsid w:val="000D4E30"/>
    <w:rsid w:val="000D4E99"/>
    <w:rsid w:val="000D58CD"/>
    <w:rsid w:val="000D5F78"/>
    <w:rsid w:val="000D7A19"/>
    <w:rsid w:val="000E0C10"/>
    <w:rsid w:val="000E103F"/>
    <w:rsid w:val="000E1E56"/>
    <w:rsid w:val="000E1E7E"/>
    <w:rsid w:val="000E2142"/>
    <w:rsid w:val="000E3119"/>
    <w:rsid w:val="000E3D99"/>
    <w:rsid w:val="000E4360"/>
    <w:rsid w:val="000E47C3"/>
    <w:rsid w:val="000E50AB"/>
    <w:rsid w:val="000E547B"/>
    <w:rsid w:val="000E5936"/>
    <w:rsid w:val="000E6F65"/>
    <w:rsid w:val="000E72AA"/>
    <w:rsid w:val="000E78EA"/>
    <w:rsid w:val="000E7D2A"/>
    <w:rsid w:val="000F0BF7"/>
    <w:rsid w:val="000F19CB"/>
    <w:rsid w:val="000F20D6"/>
    <w:rsid w:val="000F2E6C"/>
    <w:rsid w:val="000F3343"/>
    <w:rsid w:val="000F43C0"/>
    <w:rsid w:val="000F43D6"/>
    <w:rsid w:val="000F4AAE"/>
    <w:rsid w:val="000F4D14"/>
    <w:rsid w:val="000F5C5A"/>
    <w:rsid w:val="000F68EE"/>
    <w:rsid w:val="001000DB"/>
    <w:rsid w:val="00100261"/>
    <w:rsid w:val="0010055C"/>
    <w:rsid w:val="001005F5"/>
    <w:rsid w:val="00100EDF"/>
    <w:rsid w:val="00100F0D"/>
    <w:rsid w:val="00101793"/>
    <w:rsid w:val="00101DA8"/>
    <w:rsid w:val="001025D0"/>
    <w:rsid w:val="00102D66"/>
    <w:rsid w:val="00103204"/>
    <w:rsid w:val="001033F7"/>
    <w:rsid w:val="00103D37"/>
    <w:rsid w:val="00104F0B"/>
    <w:rsid w:val="00105238"/>
    <w:rsid w:val="001054AF"/>
    <w:rsid w:val="0010587B"/>
    <w:rsid w:val="00105F99"/>
    <w:rsid w:val="001065FA"/>
    <w:rsid w:val="00106675"/>
    <w:rsid w:val="00106910"/>
    <w:rsid w:val="00106C64"/>
    <w:rsid w:val="0010704A"/>
    <w:rsid w:val="001075D5"/>
    <w:rsid w:val="00107FB0"/>
    <w:rsid w:val="0011018F"/>
    <w:rsid w:val="00112043"/>
    <w:rsid w:val="001122FF"/>
    <w:rsid w:val="001127DA"/>
    <w:rsid w:val="0011290B"/>
    <w:rsid w:val="00112E8E"/>
    <w:rsid w:val="001131FD"/>
    <w:rsid w:val="00113820"/>
    <w:rsid w:val="0011393A"/>
    <w:rsid w:val="00114118"/>
    <w:rsid w:val="00114822"/>
    <w:rsid w:val="00115E75"/>
    <w:rsid w:val="0011781C"/>
    <w:rsid w:val="00117876"/>
    <w:rsid w:val="001211F2"/>
    <w:rsid w:val="00121442"/>
    <w:rsid w:val="001232CD"/>
    <w:rsid w:val="00123500"/>
    <w:rsid w:val="001240EA"/>
    <w:rsid w:val="001257B7"/>
    <w:rsid w:val="00126A85"/>
    <w:rsid w:val="001271AD"/>
    <w:rsid w:val="001273A3"/>
    <w:rsid w:val="00127773"/>
    <w:rsid w:val="00127834"/>
    <w:rsid w:val="00131505"/>
    <w:rsid w:val="00131660"/>
    <w:rsid w:val="00131A79"/>
    <w:rsid w:val="00131D51"/>
    <w:rsid w:val="0013250E"/>
    <w:rsid w:val="001329FC"/>
    <w:rsid w:val="00132B9E"/>
    <w:rsid w:val="00132DBF"/>
    <w:rsid w:val="001330B7"/>
    <w:rsid w:val="00133B42"/>
    <w:rsid w:val="00133BCB"/>
    <w:rsid w:val="00133CA5"/>
    <w:rsid w:val="001340CB"/>
    <w:rsid w:val="00135B88"/>
    <w:rsid w:val="00135E56"/>
    <w:rsid w:val="00136767"/>
    <w:rsid w:val="0013698E"/>
    <w:rsid w:val="00136DEF"/>
    <w:rsid w:val="00137557"/>
    <w:rsid w:val="00137877"/>
    <w:rsid w:val="00137C4E"/>
    <w:rsid w:val="00140238"/>
    <w:rsid w:val="00140ADD"/>
    <w:rsid w:val="00140C60"/>
    <w:rsid w:val="00141693"/>
    <w:rsid w:val="0014211B"/>
    <w:rsid w:val="0014263C"/>
    <w:rsid w:val="00142B88"/>
    <w:rsid w:val="00142BEC"/>
    <w:rsid w:val="001432A5"/>
    <w:rsid w:val="001433F8"/>
    <w:rsid w:val="0014345E"/>
    <w:rsid w:val="001434F5"/>
    <w:rsid w:val="00145230"/>
    <w:rsid w:val="0014556F"/>
    <w:rsid w:val="001458CF"/>
    <w:rsid w:val="00145EC8"/>
    <w:rsid w:val="00145F0B"/>
    <w:rsid w:val="00146505"/>
    <w:rsid w:val="00146F17"/>
    <w:rsid w:val="00147141"/>
    <w:rsid w:val="00147B9C"/>
    <w:rsid w:val="00150104"/>
    <w:rsid w:val="001501CB"/>
    <w:rsid w:val="00150CF2"/>
    <w:rsid w:val="0015121F"/>
    <w:rsid w:val="001518D4"/>
    <w:rsid w:val="001522BB"/>
    <w:rsid w:val="00152806"/>
    <w:rsid w:val="0015287E"/>
    <w:rsid w:val="00154EE6"/>
    <w:rsid w:val="00155EC6"/>
    <w:rsid w:val="00155FF8"/>
    <w:rsid w:val="001566B9"/>
    <w:rsid w:val="001567E0"/>
    <w:rsid w:val="00161173"/>
    <w:rsid w:val="00163463"/>
    <w:rsid w:val="00163C45"/>
    <w:rsid w:val="00164AEC"/>
    <w:rsid w:val="0016532E"/>
    <w:rsid w:val="00165EB5"/>
    <w:rsid w:val="00166D84"/>
    <w:rsid w:val="00167042"/>
    <w:rsid w:val="0017018A"/>
    <w:rsid w:val="00170362"/>
    <w:rsid w:val="001705AB"/>
    <w:rsid w:val="00170726"/>
    <w:rsid w:val="00170E52"/>
    <w:rsid w:val="00170E9C"/>
    <w:rsid w:val="00171D70"/>
    <w:rsid w:val="00173B42"/>
    <w:rsid w:val="00173D51"/>
    <w:rsid w:val="0017534E"/>
    <w:rsid w:val="00175E6B"/>
    <w:rsid w:val="00176B86"/>
    <w:rsid w:val="00176BA3"/>
    <w:rsid w:val="00180B6D"/>
    <w:rsid w:val="00180C0F"/>
    <w:rsid w:val="001820E0"/>
    <w:rsid w:val="00182EF9"/>
    <w:rsid w:val="0018350A"/>
    <w:rsid w:val="00183C9A"/>
    <w:rsid w:val="001844AF"/>
    <w:rsid w:val="001852FD"/>
    <w:rsid w:val="00185C7C"/>
    <w:rsid w:val="00185C8A"/>
    <w:rsid w:val="00186620"/>
    <w:rsid w:val="001871E4"/>
    <w:rsid w:val="00187597"/>
    <w:rsid w:val="00187F9F"/>
    <w:rsid w:val="001910D7"/>
    <w:rsid w:val="001913C5"/>
    <w:rsid w:val="001915C7"/>
    <w:rsid w:val="00191C3A"/>
    <w:rsid w:val="00192C1C"/>
    <w:rsid w:val="00194279"/>
    <w:rsid w:val="0019523A"/>
    <w:rsid w:val="00195295"/>
    <w:rsid w:val="001955A7"/>
    <w:rsid w:val="00197176"/>
    <w:rsid w:val="001977D3"/>
    <w:rsid w:val="001A0661"/>
    <w:rsid w:val="001A0E83"/>
    <w:rsid w:val="001A10D7"/>
    <w:rsid w:val="001A135E"/>
    <w:rsid w:val="001A1B6F"/>
    <w:rsid w:val="001A280C"/>
    <w:rsid w:val="001A2CA9"/>
    <w:rsid w:val="001A483B"/>
    <w:rsid w:val="001A4A98"/>
    <w:rsid w:val="001A4FEF"/>
    <w:rsid w:val="001A5D80"/>
    <w:rsid w:val="001A6C33"/>
    <w:rsid w:val="001A6C74"/>
    <w:rsid w:val="001A72D9"/>
    <w:rsid w:val="001A74DB"/>
    <w:rsid w:val="001B05F1"/>
    <w:rsid w:val="001B1F8E"/>
    <w:rsid w:val="001B3161"/>
    <w:rsid w:val="001B3C8E"/>
    <w:rsid w:val="001B47ED"/>
    <w:rsid w:val="001B54ED"/>
    <w:rsid w:val="001B5DE0"/>
    <w:rsid w:val="001B5DFF"/>
    <w:rsid w:val="001B5ECB"/>
    <w:rsid w:val="001B7BA5"/>
    <w:rsid w:val="001C039F"/>
    <w:rsid w:val="001C076D"/>
    <w:rsid w:val="001C1AAA"/>
    <w:rsid w:val="001C221C"/>
    <w:rsid w:val="001C312E"/>
    <w:rsid w:val="001C3133"/>
    <w:rsid w:val="001C3479"/>
    <w:rsid w:val="001C3E80"/>
    <w:rsid w:val="001C4362"/>
    <w:rsid w:val="001C480F"/>
    <w:rsid w:val="001C5496"/>
    <w:rsid w:val="001D0113"/>
    <w:rsid w:val="001D124E"/>
    <w:rsid w:val="001D18D0"/>
    <w:rsid w:val="001D2061"/>
    <w:rsid w:val="001D2923"/>
    <w:rsid w:val="001D2AE3"/>
    <w:rsid w:val="001D3242"/>
    <w:rsid w:val="001D3876"/>
    <w:rsid w:val="001D5CF3"/>
    <w:rsid w:val="001D5E4D"/>
    <w:rsid w:val="001D6CB1"/>
    <w:rsid w:val="001E155A"/>
    <w:rsid w:val="001E1903"/>
    <w:rsid w:val="001E3DD6"/>
    <w:rsid w:val="001E4194"/>
    <w:rsid w:val="001E5A56"/>
    <w:rsid w:val="001E7B32"/>
    <w:rsid w:val="001F1AC1"/>
    <w:rsid w:val="001F1FDB"/>
    <w:rsid w:val="001F24D4"/>
    <w:rsid w:val="001F2517"/>
    <w:rsid w:val="001F2C26"/>
    <w:rsid w:val="001F4B60"/>
    <w:rsid w:val="001F4D95"/>
    <w:rsid w:val="001F5CF0"/>
    <w:rsid w:val="001F61BD"/>
    <w:rsid w:val="001F680E"/>
    <w:rsid w:val="001F68A2"/>
    <w:rsid w:val="001F7036"/>
    <w:rsid w:val="001F70F7"/>
    <w:rsid w:val="001F786E"/>
    <w:rsid w:val="001F7A39"/>
    <w:rsid w:val="001F7C4E"/>
    <w:rsid w:val="001F7FD9"/>
    <w:rsid w:val="0020151B"/>
    <w:rsid w:val="00201BC0"/>
    <w:rsid w:val="00202047"/>
    <w:rsid w:val="002030D5"/>
    <w:rsid w:val="00203343"/>
    <w:rsid w:val="00203A23"/>
    <w:rsid w:val="00203E6A"/>
    <w:rsid w:val="0020401C"/>
    <w:rsid w:val="002043B9"/>
    <w:rsid w:val="00204981"/>
    <w:rsid w:val="002052D8"/>
    <w:rsid w:val="002055C2"/>
    <w:rsid w:val="00206C6F"/>
    <w:rsid w:val="00206D52"/>
    <w:rsid w:val="00206DBA"/>
    <w:rsid w:val="00207384"/>
    <w:rsid w:val="00207B70"/>
    <w:rsid w:val="00207DFC"/>
    <w:rsid w:val="00210090"/>
    <w:rsid w:val="00210293"/>
    <w:rsid w:val="0021068E"/>
    <w:rsid w:val="00210A1F"/>
    <w:rsid w:val="00211731"/>
    <w:rsid w:val="00212384"/>
    <w:rsid w:val="00213822"/>
    <w:rsid w:val="00214C3E"/>
    <w:rsid w:val="00214EDD"/>
    <w:rsid w:val="00215184"/>
    <w:rsid w:val="00215BC4"/>
    <w:rsid w:val="00215D65"/>
    <w:rsid w:val="00216299"/>
    <w:rsid w:val="002162EF"/>
    <w:rsid w:val="00217735"/>
    <w:rsid w:val="0022004F"/>
    <w:rsid w:val="002200D2"/>
    <w:rsid w:val="00220157"/>
    <w:rsid w:val="00220D6B"/>
    <w:rsid w:val="00220F63"/>
    <w:rsid w:val="00221247"/>
    <w:rsid w:val="0022166C"/>
    <w:rsid w:val="00221C7B"/>
    <w:rsid w:val="00222176"/>
    <w:rsid w:val="002227D2"/>
    <w:rsid w:val="00222AF7"/>
    <w:rsid w:val="00222C60"/>
    <w:rsid w:val="002230C0"/>
    <w:rsid w:val="002233D1"/>
    <w:rsid w:val="00223AC8"/>
    <w:rsid w:val="002246E7"/>
    <w:rsid w:val="0022486D"/>
    <w:rsid w:val="002255C6"/>
    <w:rsid w:val="00225933"/>
    <w:rsid w:val="00225C4E"/>
    <w:rsid w:val="002260F2"/>
    <w:rsid w:val="00226D24"/>
    <w:rsid w:val="00227353"/>
    <w:rsid w:val="00227D05"/>
    <w:rsid w:val="002305B5"/>
    <w:rsid w:val="00230A08"/>
    <w:rsid w:val="00230A98"/>
    <w:rsid w:val="00232FA9"/>
    <w:rsid w:val="00234A7E"/>
    <w:rsid w:val="00234FF0"/>
    <w:rsid w:val="002357AF"/>
    <w:rsid w:val="00236CFD"/>
    <w:rsid w:val="00236FDC"/>
    <w:rsid w:val="002373C2"/>
    <w:rsid w:val="00237450"/>
    <w:rsid w:val="002377F0"/>
    <w:rsid w:val="002407A0"/>
    <w:rsid w:val="00241867"/>
    <w:rsid w:val="002418B8"/>
    <w:rsid w:val="00242BAB"/>
    <w:rsid w:val="002430AE"/>
    <w:rsid w:val="002441C8"/>
    <w:rsid w:val="0024469F"/>
    <w:rsid w:val="00246E33"/>
    <w:rsid w:val="00246F3C"/>
    <w:rsid w:val="00250B28"/>
    <w:rsid w:val="00251037"/>
    <w:rsid w:val="00251173"/>
    <w:rsid w:val="002514B8"/>
    <w:rsid w:val="00251897"/>
    <w:rsid w:val="00252694"/>
    <w:rsid w:val="002528B3"/>
    <w:rsid w:val="002530AD"/>
    <w:rsid w:val="002546F4"/>
    <w:rsid w:val="0025487C"/>
    <w:rsid w:val="00254A84"/>
    <w:rsid w:val="002551A9"/>
    <w:rsid w:val="00255474"/>
    <w:rsid w:val="0025579F"/>
    <w:rsid w:val="00256014"/>
    <w:rsid w:val="00256544"/>
    <w:rsid w:val="00256584"/>
    <w:rsid w:val="002576C4"/>
    <w:rsid w:val="00257942"/>
    <w:rsid w:val="00257EDF"/>
    <w:rsid w:val="00260B28"/>
    <w:rsid w:val="00260FDC"/>
    <w:rsid w:val="00261764"/>
    <w:rsid w:val="002621A9"/>
    <w:rsid w:val="0026289F"/>
    <w:rsid w:val="002629F2"/>
    <w:rsid w:val="00264C9F"/>
    <w:rsid w:val="00265507"/>
    <w:rsid w:val="00265CD6"/>
    <w:rsid w:val="00265D45"/>
    <w:rsid w:val="0026659C"/>
    <w:rsid w:val="002700B3"/>
    <w:rsid w:val="00270170"/>
    <w:rsid w:val="0027032A"/>
    <w:rsid w:val="00270880"/>
    <w:rsid w:val="0027219A"/>
    <w:rsid w:val="002727DC"/>
    <w:rsid w:val="00273EFF"/>
    <w:rsid w:val="0027453D"/>
    <w:rsid w:val="002749CF"/>
    <w:rsid w:val="00274D03"/>
    <w:rsid w:val="00274D50"/>
    <w:rsid w:val="00276369"/>
    <w:rsid w:val="00277B2E"/>
    <w:rsid w:val="00281369"/>
    <w:rsid w:val="00281ABB"/>
    <w:rsid w:val="00281D2A"/>
    <w:rsid w:val="00281DC1"/>
    <w:rsid w:val="00282265"/>
    <w:rsid w:val="0028229B"/>
    <w:rsid w:val="00282306"/>
    <w:rsid w:val="002823B6"/>
    <w:rsid w:val="002829C9"/>
    <w:rsid w:val="002832BC"/>
    <w:rsid w:val="0028395F"/>
    <w:rsid w:val="00283BB6"/>
    <w:rsid w:val="00284193"/>
    <w:rsid w:val="002842F1"/>
    <w:rsid w:val="00284BD3"/>
    <w:rsid w:val="002852FD"/>
    <w:rsid w:val="00285586"/>
    <w:rsid w:val="00285F13"/>
    <w:rsid w:val="00286042"/>
    <w:rsid w:val="00287BC7"/>
    <w:rsid w:val="00287BE9"/>
    <w:rsid w:val="00287C66"/>
    <w:rsid w:val="00287D4D"/>
    <w:rsid w:val="00290224"/>
    <w:rsid w:val="0029035B"/>
    <w:rsid w:val="00291251"/>
    <w:rsid w:val="00292FE9"/>
    <w:rsid w:val="002942DE"/>
    <w:rsid w:val="00294343"/>
    <w:rsid w:val="002947E6"/>
    <w:rsid w:val="00294CB0"/>
    <w:rsid w:val="00294F97"/>
    <w:rsid w:val="002954A5"/>
    <w:rsid w:val="00296EB0"/>
    <w:rsid w:val="00297BDF"/>
    <w:rsid w:val="00297D23"/>
    <w:rsid w:val="002A018F"/>
    <w:rsid w:val="002A12E9"/>
    <w:rsid w:val="002A266C"/>
    <w:rsid w:val="002A442A"/>
    <w:rsid w:val="002A4FB3"/>
    <w:rsid w:val="002A591B"/>
    <w:rsid w:val="002A6644"/>
    <w:rsid w:val="002A6AC5"/>
    <w:rsid w:val="002B1121"/>
    <w:rsid w:val="002B20C9"/>
    <w:rsid w:val="002B23C0"/>
    <w:rsid w:val="002B2683"/>
    <w:rsid w:val="002B315D"/>
    <w:rsid w:val="002B35A9"/>
    <w:rsid w:val="002B3D31"/>
    <w:rsid w:val="002B3EF1"/>
    <w:rsid w:val="002B42F0"/>
    <w:rsid w:val="002B4444"/>
    <w:rsid w:val="002B4D23"/>
    <w:rsid w:val="002B51D1"/>
    <w:rsid w:val="002B51F9"/>
    <w:rsid w:val="002B571C"/>
    <w:rsid w:val="002B585A"/>
    <w:rsid w:val="002B58CB"/>
    <w:rsid w:val="002B6157"/>
    <w:rsid w:val="002B68D5"/>
    <w:rsid w:val="002B6905"/>
    <w:rsid w:val="002B718B"/>
    <w:rsid w:val="002C0CAA"/>
    <w:rsid w:val="002C0F38"/>
    <w:rsid w:val="002C2273"/>
    <w:rsid w:val="002C2897"/>
    <w:rsid w:val="002C2F18"/>
    <w:rsid w:val="002C3164"/>
    <w:rsid w:val="002C465C"/>
    <w:rsid w:val="002C4753"/>
    <w:rsid w:val="002C4ECD"/>
    <w:rsid w:val="002C5B78"/>
    <w:rsid w:val="002C5F9B"/>
    <w:rsid w:val="002C6263"/>
    <w:rsid w:val="002C77F1"/>
    <w:rsid w:val="002D0198"/>
    <w:rsid w:val="002D0993"/>
    <w:rsid w:val="002D09EB"/>
    <w:rsid w:val="002D0C3F"/>
    <w:rsid w:val="002D2B37"/>
    <w:rsid w:val="002D4E12"/>
    <w:rsid w:val="002D62FD"/>
    <w:rsid w:val="002D641F"/>
    <w:rsid w:val="002D6811"/>
    <w:rsid w:val="002D6AF3"/>
    <w:rsid w:val="002E1680"/>
    <w:rsid w:val="002E1AEC"/>
    <w:rsid w:val="002E1CD5"/>
    <w:rsid w:val="002E2FD4"/>
    <w:rsid w:val="002E32FB"/>
    <w:rsid w:val="002E428A"/>
    <w:rsid w:val="002E4971"/>
    <w:rsid w:val="002E4CE5"/>
    <w:rsid w:val="002E4FF9"/>
    <w:rsid w:val="002E5548"/>
    <w:rsid w:val="002E5CFC"/>
    <w:rsid w:val="002E6FFF"/>
    <w:rsid w:val="002E72A9"/>
    <w:rsid w:val="002E7358"/>
    <w:rsid w:val="002E760B"/>
    <w:rsid w:val="002E76DB"/>
    <w:rsid w:val="002F0295"/>
    <w:rsid w:val="002F1178"/>
    <w:rsid w:val="002F14AD"/>
    <w:rsid w:val="002F14FD"/>
    <w:rsid w:val="002F1B88"/>
    <w:rsid w:val="002F288A"/>
    <w:rsid w:val="002F32CF"/>
    <w:rsid w:val="002F367E"/>
    <w:rsid w:val="002F36B5"/>
    <w:rsid w:val="002F41E0"/>
    <w:rsid w:val="002F4757"/>
    <w:rsid w:val="002F4A44"/>
    <w:rsid w:val="002F5160"/>
    <w:rsid w:val="002F583E"/>
    <w:rsid w:val="002F59B3"/>
    <w:rsid w:val="002F60CC"/>
    <w:rsid w:val="002F6F04"/>
    <w:rsid w:val="0030013B"/>
    <w:rsid w:val="003003AF"/>
    <w:rsid w:val="00300BAE"/>
    <w:rsid w:val="003014C8"/>
    <w:rsid w:val="00301F18"/>
    <w:rsid w:val="0030215D"/>
    <w:rsid w:val="003024E6"/>
    <w:rsid w:val="00302BF4"/>
    <w:rsid w:val="00303266"/>
    <w:rsid w:val="003035D8"/>
    <w:rsid w:val="00303F77"/>
    <w:rsid w:val="0030421A"/>
    <w:rsid w:val="00304914"/>
    <w:rsid w:val="00304B65"/>
    <w:rsid w:val="00305F94"/>
    <w:rsid w:val="003061AB"/>
    <w:rsid w:val="00306202"/>
    <w:rsid w:val="00306CD4"/>
    <w:rsid w:val="003070C1"/>
    <w:rsid w:val="003101EE"/>
    <w:rsid w:val="0031047B"/>
    <w:rsid w:val="0031064B"/>
    <w:rsid w:val="00310CC5"/>
    <w:rsid w:val="00310F85"/>
    <w:rsid w:val="0031246E"/>
    <w:rsid w:val="00312DA7"/>
    <w:rsid w:val="00312F64"/>
    <w:rsid w:val="00313520"/>
    <w:rsid w:val="0031469A"/>
    <w:rsid w:val="0031658A"/>
    <w:rsid w:val="00316734"/>
    <w:rsid w:val="00316AC1"/>
    <w:rsid w:val="00317005"/>
    <w:rsid w:val="00317145"/>
    <w:rsid w:val="003173A1"/>
    <w:rsid w:val="00317931"/>
    <w:rsid w:val="00320926"/>
    <w:rsid w:val="00320FE6"/>
    <w:rsid w:val="003227CD"/>
    <w:rsid w:val="00322AC9"/>
    <w:rsid w:val="00323F30"/>
    <w:rsid w:val="00324EA3"/>
    <w:rsid w:val="00326770"/>
    <w:rsid w:val="00326B38"/>
    <w:rsid w:val="00327204"/>
    <w:rsid w:val="003276B7"/>
    <w:rsid w:val="003302FC"/>
    <w:rsid w:val="00330838"/>
    <w:rsid w:val="00331E65"/>
    <w:rsid w:val="00332088"/>
    <w:rsid w:val="003321DF"/>
    <w:rsid w:val="00332215"/>
    <w:rsid w:val="00332F9E"/>
    <w:rsid w:val="00332FE0"/>
    <w:rsid w:val="0033439F"/>
    <w:rsid w:val="00334818"/>
    <w:rsid w:val="00334B62"/>
    <w:rsid w:val="00334BAB"/>
    <w:rsid w:val="00335FCC"/>
    <w:rsid w:val="003373FC"/>
    <w:rsid w:val="003376E8"/>
    <w:rsid w:val="00337862"/>
    <w:rsid w:val="00337C24"/>
    <w:rsid w:val="00340E1A"/>
    <w:rsid w:val="0034197E"/>
    <w:rsid w:val="00342AB1"/>
    <w:rsid w:val="00342D40"/>
    <w:rsid w:val="003431E8"/>
    <w:rsid w:val="00343308"/>
    <w:rsid w:val="0034350B"/>
    <w:rsid w:val="0034359A"/>
    <w:rsid w:val="0034466A"/>
    <w:rsid w:val="00345634"/>
    <w:rsid w:val="00345BA9"/>
    <w:rsid w:val="003460F2"/>
    <w:rsid w:val="0034623F"/>
    <w:rsid w:val="003463A9"/>
    <w:rsid w:val="00346B34"/>
    <w:rsid w:val="00346B58"/>
    <w:rsid w:val="00346DDD"/>
    <w:rsid w:val="00346FA3"/>
    <w:rsid w:val="003473AE"/>
    <w:rsid w:val="0034771C"/>
    <w:rsid w:val="00347F7C"/>
    <w:rsid w:val="00350FA6"/>
    <w:rsid w:val="0035130C"/>
    <w:rsid w:val="0035281C"/>
    <w:rsid w:val="00352938"/>
    <w:rsid w:val="00352FF8"/>
    <w:rsid w:val="003532E4"/>
    <w:rsid w:val="00353588"/>
    <w:rsid w:val="003535C8"/>
    <w:rsid w:val="003535D1"/>
    <w:rsid w:val="003542C4"/>
    <w:rsid w:val="003542DC"/>
    <w:rsid w:val="00354ABB"/>
    <w:rsid w:val="00354E21"/>
    <w:rsid w:val="00355152"/>
    <w:rsid w:val="00355746"/>
    <w:rsid w:val="003557A8"/>
    <w:rsid w:val="00356834"/>
    <w:rsid w:val="0035794D"/>
    <w:rsid w:val="00357FE7"/>
    <w:rsid w:val="0036071E"/>
    <w:rsid w:val="00360B57"/>
    <w:rsid w:val="00360BDE"/>
    <w:rsid w:val="00360C23"/>
    <w:rsid w:val="00360C8C"/>
    <w:rsid w:val="003614EB"/>
    <w:rsid w:val="00362B13"/>
    <w:rsid w:val="003630DA"/>
    <w:rsid w:val="003637CA"/>
    <w:rsid w:val="00364749"/>
    <w:rsid w:val="00365F8E"/>
    <w:rsid w:val="0036616B"/>
    <w:rsid w:val="003666DD"/>
    <w:rsid w:val="00366D67"/>
    <w:rsid w:val="00370209"/>
    <w:rsid w:val="0037026A"/>
    <w:rsid w:val="0037035A"/>
    <w:rsid w:val="0037099F"/>
    <w:rsid w:val="00370C1B"/>
    <w:rsid w:val="003718DC"/>
    <w:rsid w:val="00372648"/>
    <w:rsid w:val="00372871"/>
    <w:rsid w:val="00372BF3"/>
    <w:rsid w:val="00372FB1"/>
    <w:rsid w:val="00373613"/>
    <w:rsid w:val="00373744"/>
    <w:rsid w:val="0037383A"/>
    <w:rsid w:val="00373895"/>
    <w:rsid w:val="003739CE"/>
    <w:rsid w:val="003757CD"/>
    <w:rsid w:val="00376121"/>
    <w:rsid w:val="003766D0"/>
    <w:rsid w:val="003767F6"/>
    <w:rsid w:val="00380B30"/>
    <w:rsid w:val="00380C94"/>
    <w:rsid w:val="0038135A"/>
    <w:rsid w:val="00381701"/>
    <w:rsid w:val="003817D7"/>
    <w:rsid w:val="003827DE"/>
    <w:rsid w:val="00382E9C"/>
    <w:rsid w:val="0038345F"/>
    <w:rsid w:val="00383DF5"/>
    <w:rsid w:val="00384FA8"/>
    <w:rsid w:val="00386250"/>
    <w:rsid w:val="00386B74"/>
    <w:rsid w:val="00386C6E"/>
    <w:rsid w:val="00387E7A"/>
    <w:rsid w:val="003908C1"/>
    <w:rsid w:val="00390E9A"/>
    <w:rsid w:val="003913FC"/>
    <w:rsid w:val="0039194F"/>
    <w:rsid w:val="00391DBE"/>
    <w:rsid w:val="00392126"/>
    <w:rsid w:val="003931A1"/>
    <w:rsid w:val="00394451"/>
    <w:rsid w:val="0039445E"/>
    <w:rsid w:val="00394773"/>
    <w:rsid w:val="00394F10"/>
    <w:rsid w:val="00395C01"/>
    <w:rsid w:val="00397603"/>
    <w:rsid w:val="003A09E6"/>
    <w:rsid w:val="003A157E"/>
    <w:rsid w:val="003A1B1C"/>
    <w:rsid w:val="003A1DE3"/>
    <w:rsid w:val="003A2093"/>
    <w:rsid w:val="003A2B11"/>
    <w:rsid w:val="003A2D59"/>
    <w:rsid w:val="003A3491"/>
    <w:rsid w:val="003A3896"/>
    <w:rsid w:val="003A5584"/>
    <w:rsid w:val="003A5616"/>
    <w:rsid w:val="003A66D3"/>
    <w:rsid w:val="003A6F20"/>
    <w:rsid w:val="003A7100"/>
    <w:rsid w:val="003A7D0B"/>
    <w:rsid w:val="003B03E9"/>
    <w:rsid w:val="003B09D8"/>
    <w:rsid w:val="003B0E7F"/>
    <w:rsid w:val="003B11B5"/>
    <w:rsid w:val="003B13D9"/>
    <w:rsid w:val="003B1516"/>
    <w:rsid w:val="003B1FE8"/>
    <w:rsid w:val="003B3690"/>
    <w:rsid w:val="003B3C9E"/>
    <w:rsid w:val="003B3D20"/>
    <w:rsid w:val="003B436E"/>
    <w:rsid w:val="003B450C"/>
    <w:rsid w:val="003B4E80"/>
    <w:rsid w:val="003B501E"/>
    <w:rsid w:val="003B55C0"/>
    <w:rsid w:val="003B5D7B"/>
    <w:rsid w:val="003B65AC"/>
    <w:rsid w:val="003B693A"/>
    <w:rsid w:val="003B6C4E"/>
    <w:rsid w:val="003C0997"/>
    <w:rsid w:val="003C0D8A"/>
    <w:rsid w:val="003C0FE4"/>
    <w:rsid w:val="003C17B8"/>
    <w:rsid w:val="003C1B5E"/>
    <w:rsid w:val="003C2272"/>
    <w:rsid w:val="003C2359"/>
    <w:rsid w:val="003C2881"/>
    <w:rsid w:val="003C34C6"/>
    <w:rsid w:val="003C42FD"/>
    <w:rsid w:val="003C4B38"/>
    <w:rsid w:val="003C4B48"/>
    <w:rsid w:val="003C4B78"/>
    <w:rsid w:val="003C5BFD"/>
    <w:rsid w:val="003C634E"/>
    <w:rsid w:val="003C7262"/>
    <w:rsid w:val="003C79B4"/>
    <w:rsid w:val="003C7EEF"/>
    <w:rsid w:val="003C7FCA"/>
    <w:rsid w:val="003D0A02"/>
    <w:rsid w:val="003D10EC"/>
    <w:rsid w:val="003D3687"/>
    <w:rsid w:val="003D3709"/>
    <w:rsid w:val="003D407B"/>
    <w:rsid w:val="003D50BA"/>
    <w:rsid w:val="003D5236"/>
    <w:rsid w:val="003D6473"/>
    <w:rsid w:val="003D732C"/>
    <w:rsid w:val="003D77A0"/>
    <w:rsid w:val="003D7E08"/>
    <w:rsid w:val="003E00E3"/>
    <w:rsid w:val="003E1161"/>
    <w:rsid w:val="003E153E"/>
    <w:rsid w:val="003E160E"/>
    <w:rsid w:val="003E1F34"/>
    <w:rsid w:val="003E2201"/>
    <w:rsid w:val="003E2213"/>
    <w:rsid w:val="003E376D"/>
    <w:rsid w:val="003E41D1"/>
    <w:rsid w:val="003E42D5"/>
    <w:rsid w:val="003E4325"/>
    <w:rsid w:val="003E49A6"/>
    <w:rsid w:val="003E4EA9"/>
    <w:rsid w:val="003E5302"/>
    <w:rsid w:val="003E5833"/>
    <w:rsid w:val="003E627C"/>
    <w:rsid w:val="003E62E8"/>
    <w:rsid w:val="003E7483"/>
    <w:rsid w:val="003F073B"/>
    <w:rsid w:val="003F07C1"/>
    <w:rsid w:val="003F0FD3"/>
    <w:rsid w:val="003F11B3"/>
    <w:rsid w:val="003F1BF4"/>
    <w:rsid w:val="003F263B"/>
    <w:rsid w:val="003F2865"/>
    <w:rsid w:val="003F36DF"/>
    <w:rsid w:val="003F3DF2"/>
    <w:rsid w:val="003F45B7"/>
    <w:rsid w:val="003F53FF"/>
    <w:rsid w:val="003F5E72"/>
    <w:rsid w:val="003F6C3D"/>
    <w:rsid w:val="003F6DD4"/>
    <w:rsid w:val="003F6ED9"/>
    <w:rsid w:val="003F7BC6"/>
    <w:rsid w:val="004007DF"/>
    <w:rsid w:val="00400C16"/>
    <w:rsid w:val="00400DEA"/>
    <w:rsid w:val="00401758"/>
    <w:rsid w:val="00401A06"/>
    <w:rsid w:val="004023DA"/>
    <w:rsid w:val="004033D4"/>
    <w:rsid w:val="0040413F"/>
    <w:rsid w:val="00404397"/>
    <w:rsid w:val="00404975"/>
    <w:rsid w:val="00404CED"/>
    <w:rsid w:val="00404E41"/>
    <w:rsid w:val="004051CB"/>
    <w:rsid w:val="00405271"/>
    <w:rsid w:val="00406844"/>
    <w:rsid w:val="00407196"/>
    <w:rsid w:val="00407DE1"/>
    <w:rsid w:val="00410161"/>
    <w:rsid w:val="0041063F"/>
    <w:rsid w:val="00410BDC"/>
    <w:rsid w:val="00411EE7"/>
    <w:rsid w:val="00411FEA"/>
    <w:rsid w:val="00414B76"/>
    <w:rsid w:val="00414B8C"/>
    <w:rsid w:val="00414DCA"/>
    <w:rsid w:val="00414DED"/>
    <w:rsid w:val="00415529"/>
    <w:rsid w:val="00415B12"/>
    <w:rsid w:val="00415B8D"/>
    <w:rsid w:val="00415DAB"/>
    <w:rsid w:val="004160F7"/>
    <w:rsid w:val="004209B2"/>
    <w:rsid w:val="00421155"/>
    <w:rsid w:val="00421504"/>
    <w:rsid w:val="0042157E"/>
    <w:rsid w:val="00421C90"/>
    <w:rsid w:val="004232D0"/>
    <w:rsid w:val="00423C40"/>
    <w:rsid w:val="0042443F"/>
    <w:rsid w:val="00424D7D"/>
    <w:rsid w:val="00425DD1"/>
    <w:rsid w:val="004277CC"/>
    <w:rsid w:val="00430719"/>
    <w:rsid w:val="0043135F"/>
    <w:rsid w:val="00431560"/>
    <w:rsid w:val="0043260E"/>
    <w:rsid w:val="00432625"/>
    <w:rsid w:val="00433C37"/>
    <w:rsid w:val="004341A4"/>
    <w:rsid w:val="00434765"/>
    <w:rsid w:val="00434B78"/>
    <w:rsid w:val="00435568"/>
    <w:rsid w:val="0043620C"/>
    <w:rsid w:val="00436AB4"/>
    <w:rsid w:val="004371CE"/>
    <w:rsid w:val="00437291"/>
    <w:rsid w:val="0043753C"/>
    <w:rsid w:val="0043759B"/>
    <w:rsid w:val="00440F10"/>
    <w:rsid w:val="00441365"/>
    <w:rsid w:val="00441910"/>
    <w:rsid w:val="0044217B"/>
    <w:rsid w:val="0044250F"/>
    <w:rsid w:val="00442E79"/>
    <w:rsid w:val="00442FA4"/>
    <w:rsid w:val="00443863"/>
    <w:rsid w:val="004445D9"/>
    <w:rsid w:val="00444E55"/>
    <w:rsid w:val="00445830"/>
    <w:rsid w:val="00446ADF"/>
    <w:rsid w:val="00446B2B"/>
    <w:rsid w:val="00447D20"/>
    <w:rsid w:val="00450358"/>
    <w:rsid w:val="00451081"/>
    <w:rsid w:val="0045226E"/>
    <w:rsid w:val="004530DF"/>
    <w:rsid w:val="00453797"/>
    <w:rsid w:val="0045431D"/>
    <w:rsid w:val="00454844"/>
    <w:rsid w:val="004557DD"/>
    <w:rsid w:val="00456B46"/>
    <w:rsid w:val="00457D27"/>
    <w:rsid w:val="0046027C"/>
    <w:rsid w:val="00460F54"/>
    <w:rsid w:val="0046127E"/>
    <w:rsid w:val="00461B9C"/>
    <w:rsid w:val="004640E5"/>
    <w:rsid w:val="0046452D"/>
    <w:rsid w:val="00464F5F"/>
    <w:rsid w:val="00465AFE"/>
    <w:rsid w:val="0046605F"/>
    <w:rsid w:val="00466E97"/>
    <w:rsid w:val="004704F9"/>
    <w:rsid w:val="004705A2"/>
    <w:rsid w:val="00470C34"/>
    <w:rsid w:val="00470F16"/>
    <w:rsid w:val="00471434"/>
    <w:rsid w:val="0047174A"/>
    <w:rsid w:val="00472035"/>
    <w:rsid w:val="004723F6"/>
    <w:rsid w:val="004745E0"/>
    <w:rsid w:val="00474AAC"/>
    <w:rsid w:val="00474F28"/>
    <w:rsid w:val="00475650"/>
    <w:rsid w:val="00475E1F"/>
    <w:rsid w:val="004765D6"/>
    <w:rsid w:val="00476825"/>
    <w:rsid w:val="0047696B"/>
    <w:rsid w:val="00477162"/>
    <w:rsid w:val="00477C35"/>
    <w:rsid w:val="00480B02"/>
    <w:rsid w:val="004812D1"/>
    <w:rsid w:val="004837C5"/>
    <w:rsid w:val="00483E82"/>
    <w:rsid w:val="00483F29"/>
    <w:rsid w:val="00485592"/>
    <w:rsid w:val="00485DE2"/>
    <w:rsid w:val="00487D29"/>
    <w:rsid w:val="00490514"/>
    <w:rsid w:val="004912E7"/>
    <w:rsid w:val="0049134F"/>
    <w:rsid w:val="0049155D"/>
    <w:rsid w:val="00491BD3"/>
    <w:rsid w:val="00492F18"/>
    <w:rsid w:val="00494245"/>
    <w:rsid w:val="00495C8A"/>
    <w:rsid w:val="00496054"/>
    <w:rsid w:val="004964DE"/>
    <w:rsid w:val="00496563"/>
    <w:rsid w:val="00496756"/>
    <w:rsid w:val="00496F6E"/>
    <w:rsid w:val="004975A6"/>
    <w:rsid w:val="004976A5"/>
    <w:rsid w:val="004A0076"/>
    <w:rsid w:val="004A0C98"/>
    <w:rsid w:val="004A0D35"/>
    <w:rsid w:val="004A2A73"/>
    <w:rsid w:val="004A32D4"/>
    <w:rsid w:val="004A443C"/>
    <w:rsid w:val="004A4657"/>
    <w:rsid w:val="004A5A3E"/>
    <w:rsid w:val="004A6540"/>
    <w:rsid w:val="004A6D97"/>
    <w:rsid w:val="004A7B08"/>
    <w:rsid w:val="004B04FD"/>
    <w:rsid w:val="004B07D6"/>
    <w:rsid w:val="004B086C"/>
    <w:rsid w:val="004B0E44"/>
    <w:rsid w:val="004B1228"/>
    <w:rsid w:val="004B15DE"/>
    <w:rsid w:val="004B1B9C"/>
    <w:rsid w:val="004B1FB6"/>
    <w:rsid w:val="004B3317"/>
    <w:rsid w:val="004B3C32"/>
    <w:rsid w:val="004B526C"/>
    <w:rsid w:val="004B53C2"/>
    <w:rsid w:val="004B68CE"/>
    <w:rsid w:val="004B6A4F"/>
    <w:rsid w:val="004B77B6"/>
    <w:rsid w:val="004C098C"/>
    <w:rsid w:val="004C0DAB"/>
    <w:rsid w:val="004C1779"/>
    <w:rsid w:val="004C1E1B"/>
    <w:rsid w:val="004C21D8"/>
    <w:rsid w:val="004C2745"/>
    <w:rsid w:val="004C2B61"/>
    <w:rsid w:val="004C31FC"/>
    <w:rsid w:val="004C372B"/>
    <w:rsid w:val="004C3F0F"/>
    <w:rsid w:val="004C40C4"/>
    <w:rsid w:val="004C4DD9"/>
    <w:rsid w:val="004C4E19"/>
    <w:rsid w:val="004C62DE"/>
    <w:rsid w:val="004C6AC2"/>
    <w:rsid w:val="004C7658"/>
    <w:rsid w:val="004D00DD"/>
    <w:rsid w:val="004D08D4"/>
    <w:rsid w:val="004D1528"/>
    <w:rsid w:val="004D1670"/>
    <w:rsid w:val="004D16BC"/>
    <w:rsid w:val="004D1B45"/>
    <w:rsid w:val="004D1CF4"/>
    <w:rsid w:val="004D25FC"/>
    <w:rsid w:val="004D34AB"/>
    <w:rsid w:val="004D4290"/>
    <w:rsid w:val="004D46A3"/>
    <w:rsid w:val="004D6320"/>
    <w:rsid w:val="004D64FA"/>
    <w:rsid w:val="004D69B2"/>
    <w:rsid w:val="004D6F16"/>
    <w:rsid w:val="004E053C"/>
    <w:rsid w:val="004E0588"/>
    <w:rsid w:val="004E1971"/>
    <w:rsid w:val="004E264D"/>
    <w:rsid w:val="004E413A"/>
    <w:rsid w:val="004E43C1"/>
    <w:rsid w:val="004E568B"/>
    <w:rsid w:val="004E5929"/>
    <w:rsid w:val="004E5D2F"/>
    <w:rsid w:val="004E5F9C"/>
    <w:rsid w:val="004E67F0"/>
    <w:rsid w:val="004F00D9"/>
    <w:rsid w:val="004F08E7"/>
    <w:rsid w:val="004F2CAE"/>
    <w:rsid w:val="004F3B12"/>
    <w:rsid w:val="004F3D0D"/>
    <w:rsid w:val="004F41C8"/>
    <w:rsid w:val="004F4545"/>
    <w:rsid w:val="004F51B8"/>
    <w:rsid w:val="004F55F8"/>
    <w:rsid w:val="004F55FC"/>
    <w:rsid w:val="004F60BD"/>
    <w:rsid w:val="004F6DFF"/>
    <w:rsid w:val="004F7121"/>
    <w:rsid w:val="004F780D"/>
    <w:rsid w:val="004F796B"/>
    <w:rsid w:val="00500002"/>
    <w:rsid w:val="00500888"/>
    <w:rsid w:val="00500D47"/>
    <w:rsid w:val="00502590"/>
    <w:rsid w:val="00502F5A"/>
    <w:rsid w:val="00503332"/>
    <w:rsid w:val="00503B92"/>
    <w:rsid w:val="00503F52"/>
    <w:rsid w:val="00504272"/>
    <w:rsid w:val="005046EA"/>
    <w:rsid w:val="00505719"/>
    <w:rsid w:val="00505DEE"/>
    <w:rsid w:val="0050616E"/>
    <w:rsid w:val="00506339"/>
    <w:rsid w:val="00506341"/>
    <w:rsid w:val="00506F46"/>
    <w:rsid w:val="0050769B"/>
    <w:rsid w:val="00510D4E"/>
    <w:rsid w:val="00510FA2"/>
    <w:rsid w:val="0051109F"/>
    <w:rsid w:val="00511E94"/>
    <w:rsid w:val="00512336"/>
    <w:rsid w:val="00513215"/>
    <w:rsid w:val="0051329B"/>
    <w:rsid w:val="0051376E"/>
    <w:rsid w:val="005155FF"/>
    <w:rsid w:val="00515D8A"/>
    <w:rsid w:val="00515DBA"/>
    <w:rsid w:val="00516372"/>
    <w:rsid w:val="00516FAA"/>
    <w:rsid w:val="005176F3"/>
    <w:rsid w:val="005178B8"/>
    <w:rsid w:val="0052054F"/>
    <w:rsid w:val="00520628"/>
    <w:rsid w:val="005208F9"/>
    <w:rsid w:val="0052141C"/>
    <w:rsid w:val="00521BE7"/>
    <w:rsid w:val="00521D66"/>
    <w:rsid w:val="00523C8E"/>
    <w:rsid w:val="00523FDF"/>
    <w:rsid w:val="005244B0"/>
    <w:rsid w:val="00524F5A"/>
    <w:rsid w:val="00525A24"/>
    <w:rsid w:val="00525C31"/>
    <w:rsid w:val="00526FB6"/>
    <w:rsid w:val="005309FE"/>
    <w:rsid w:val="00531032"/>
    <w:rsid w:val="0053397E"/>
    <w:rsid w:val="00534F23"/>
    <w:rsid w:val="005354BC"/>
    <w:rsid w:val="00535CD6"/>
    <w:rsid w:val="00536206"/>
    <w:rsid w:val="00536AD6"/>
    <w:rsid w:val="0053700B"/>
    <w:rsid w:val="00537132"/>
    <w:rsid w:val="00537538"/>
    <w:rsid w:val="005379C3"/>
    <w:rsid w:val="0054045C"/>
    <w:rsid w:val="00544272"/>
    <w:rsid w:val="00545650"/>
    <w:rsid w:val="0054657B"/>
    <w:rsid w:val="0054724D"/>
    <w:rsid w:val="00547880"/>
    <w:rsid w:val="00547F84"/>
    <w:rsid w:val="00550335"/>
    <w:rsid w:val="00551953"/>
    <w:rsid w:val="00552618"/>
    <w:rsid w:val="00552A59"/>
    <w:rsid w:val="005532CB"/>
    <w:rsid w:val="005541CB"/>
    <w:rsid w:val="00554A74"/>
    <w:rsid w:val="005550A0"/>
    <w:rsid w:val="005555EB"/>
    <w:rsid w:val="00555B21"/>
    <w:rsid w:val="00555C56"/>
    <w:rsid w:val="00555E10"/>
    <w:rsid w:val="00556453"/>
    <w:rsid w:val="00556F10"/>
    <w:rsid w:val="00557A8B"/>
    <w:rsid w:val="00557D3A"/>
    <w:rsid w:val="00560A89"/>
    <w:rsid w:val="00560CEB"/>
    <w:rsid w:val="00560EDF"/>
    <w:rsid w:val="005621A4"/>
    <w:rsid w:val="005630CD"/>
    <w:rsid w:val="0056454F"/>
    <w:rsid w:val="00566F32"/>
    <w:rsid w:val="00570542"/>
    <w:rsid w:val="005706D7"/>
    <w:rsid w:val="00571075"/>
    <w:rsid w:val="00571631"/>
    <w:rsid w:val="00571B6E"/>
    <w:rsid w:val="00571F0F"/>
    <w:rsid w:val="005725DB"/>
    <w:rsid w:val="00572FB9"/>
    <w:rsid w:val="00574B6B"/>
    <w:rsid w:val="0057509F"/>
    <w:rsid w:val="005756E2"/>
    <w:rsid w:val="00575703"/>
    <w:rsid w:val="00575A1F"/>
    <w:rsid w:val="00576828"/>
    <w:rsid w:val="005774C6"/>
    <w:rsid w:val="00577B8A"/>
    <w:rsid w:val="00580089"/>
    <w:rsid w:val="0058088E"/>
    <w:rsid w:val="005815B5"/>
    <w:rsid w:val="005822F7"/>
    <w:rsid w:val="0058263A"/>
    <w:rsid w:val="00582AF0"/>
    <w:rsid w:val="00582B45"/>
    <w:rsid w:val="00583295"/>
    <w:rsid w:val="005837A9"/>
    <w:rsid w:val="00583816"/>
    <w:rsid w:val="00583EBA"/>
    <w:rsid w:val="005840C9"/>
    <w:rsid w:val="00584214"/>
    <w:rsid w:val="00585810"/>
    <w:rsid w:val="0058628F"/>
    <w:rsid w:val="00586707"/>
    <w:rsid w:val="00587C41"/>
    <w:rsid w:val="00590095"/>
    <w:rsid w:val="005906C6"/>
    <w:rsid w:val="00590F07"/>
    <w:rsid w:val="00592410"/>
    <w:rsid w:val="00592575"/>
    <w:rsid w:val="005929B0"/>
    <w:rsid w:val="005932F5"/>
    <w:rsid w:val="0059337C"/>
    <w:rsid w:val="00594084"/>
    <w:rsid w:val="00594FA4"/>
    <w:rsid w:val="0059510D"/>
    <w:rsid w:val="005963BE"/>
    <w:rsid w:val="005969CD"/>
    <w:rsid w:val="00597662"/>
    <w:rsid w:val="005976F9"/>
    <w:rsid w:val="00597C91"/>
    <w:rsid w:val="005A1048"/>
    <w:rsid w:val="005A1062"/>
    <w:rsid w:val="005A1547"/>
    <w:rsid w:val="005A1767"/>
    <w:rsid w:val="005A17D1"/>
    <w:rsid w:val="005A1D57"/>
    <w:rsid w:val="005A1E6F"/>
    <w:rsid w:val="005A1F4B"/>
    <w:rsid w:val="005A2BBB"/>
    <w:rsid w:val="005A3BEE"/>
    <w:rsid w:val="005A53BB"/>
    <w:rsid w:val="005A5C1B"/>
    <w:rsid w:val="005A7302"/>
    <w:rsid w:val="005A7B79"/>
    <w:rsid w:val="005B04AA"/>
    <w:rsid w:val="005B0CBB"/>
    <w:rsid w:val="005B1212"/>
    <w:rsid w:val="005B21F2"/>
    <w:rsid w:val="005B2BFC"/>
    <w:rsid w:val="005B314A"/>
    <w:rsid w:val="005B43EC"/>
    <w:rsid w:val="005B4A36"/>
    <w:rsid w:val="005B577D"/>
    <w:rsid w:val="005B57D9"/>
    <w:rsid w:val="005B6851"/>
    <w:rsid w:val="005C028B"/>
    <w:rsid w:val="005C0730"/>
    <w:rsid w:val="005C0FCB"/>
    <w:rsid w:val="005C1C05"/>
    <w:rsid w:val="005C1FDE"/>
    <w:rsid w:val="005C2F14"/>
    <w:rsid w:val="005C3432"/>
    <w:rsid w:val="005C3B9F"/>
    <w:rsid w:val="005C69E4"/>
    <w:rsid w:val="005C77DF"/>
    <w:rsid w:val="005D02FC"/>
    <w:rsid w:val="005D0E54"/>
    <w:rsid w:val="005D2218"/>
    <w:rsid w:val="005D2263"/>
    <w:rsid w:val="005D2B4D"/>
    <w:rsid w:val="005D311A"/>
    <w:rsid w:val="005D4F12"/>
    <w:rsid w:val="005D4F28"/>
    <w:rsid w:val="005D5011"/>
    <w:rsid w:val="005D57EE"/>
    <w:rsid w:val="005D5D77"/>
    <w:rsid w:val="005D76C4"/>
    <w:rsid w:val="005D7987"/>
    <w:rsid w:val="005D7D80"/>
    <w:rsid w:val="005E070B"/>
    <w:rsid w:val="005E3977"/>
    <w:rsid w:val="005E4307"/>
    <w:rsid w:val="005E4A9F"/>
    <w:rsid w:val="005E6D81"/>
    <w:rsid w:val="005E6DA5"/>
    <w:rsid w:val="005E756A"/>
    <w:rsid w:val="005F01BB"/>
    <w:rsid w:val="005F0394"/>
    <w:rsid w:val="005F0B8E"/>
    <w:rsid w:val="005F11BD"/>
    <w:rsid w:val="005F23B9"/>
    <w:rsid w:val="005F283B"/>
    <w:rsid w:val="005F2AD9"/>
    <w:rsid w:val="005F2CEE"/>
    <w:rsid w:val="005F2E97"/>
    <w:rsid w:val="005F355A"/>
    <w:rsid w:val="005F3F30"/>
    <w:rsid w:val="005F407D"/>
    <w:rsid w:val="005F491F"/>
    <w:rsid w:val="005F4E88"/>
    <w:rsid w:val="005F5654"/>
    <w:rsid w:val="005F592B"/>
    <w:rsid w:val="005F5D88"/>
    <w:rsid w:val="005F6232"/>
    <w:rsid w:val="005F683D"/>
    <w:rsid w:val="005F789D"/>
    <w:rsid w:val="0060113D"/>
    <w:rsid w:val="00601764"/>
    <w:rsid w:val="006027D2"/>
    <w:rsid w:val="006029EC"/>
    <w:rsid w:val="00602B99"/>
    <w:rsid w:val="0060338F"/>
    <w:rsid w:val="00603595"/>
    <w:rsid w:val="006038A0"/>
    <w:rsid w:val="00603EA7"/>
    <w:rsid w:val="00604D8F"/>
    <w:rsid w:val="006053AC"/>
    <w:rsid w:val="00606473"/>
    <w:rsid w:val="006074C6"/>
    <w:rsid w:val="00607D0A"/>
    <w:rsid w:val="0061112C"/>
    <w:rsid w:val="00611271"/>
    <w:rsid w:val="00611F30"/>
    <w:rsid w:val="00611F7A"/>
    <w:rsid w:val="00611FFE"/>
    <w:rsid w:val="006129C9"/>
    <w:rsid w:val="00613A77"/>
    <w:rsid w:val="00613F71"/>
    <w:rsid w:val="006150B0"/>
    <w:rsid w:val="00615890"/>
    <w:rsid w:val="00616524"/>
    <w:rsid w:val="006172EC"/>
    <w:rsid w:val="006174BC"/>
    <w:rsid w:val="00617E2C"/>
    <w:rsid w:val="00622389"/>
    <w:rsid w:val="006229D9"/>
    <w:rsid w:val="00622E2B"/>
    <w:rsid w:val="00624132"/>
    <w:rsid w:val="00624A14"/>
    <w:rsid w:val="00630437"/>
    <w:rsid w:val="0063173A"/>
    <w:rsid w:val="00631DD3"/>
    <w:rsid w:val="00632161"/>
    <w:rsid w:val="00632297"/>
    <w:rsid w:val="0063241E"/>
    <w:rsid w:val="00632C05"/>
    <w:rsid w:val="00632D97"/>
    <w:rsid w:val="00633347"/>
    <w:rsid w:val="00633895"/>
    <w:rsid w:val="006340A0"/>
    <w:rsid w:val="00634B7B"/>
    <w:rsid w:val="00635210"/>
    <w:rsid w:val="006352F9"/>
    <w:rsid w:val="00635529"/>
    <w:rsid w:val="00635698"/>
    <w:rsid w:val="00635829"/>
    <w:rsid w:val="00635E00"/>
    <w:rsid w:val="0063724F"/>
    <w:rsid w:val="00637395"/>
    <w:rsid w:val="00637AAD"/>
    <w:rsid w:val="006409D2"/>
    <w:rsid w:val="0064118C"/>
    <w:rsid w:val="00641D53"/>
    <w:rsid w:val="00641D66"/>
    <w:rsid w:val="006430FC"/>
    <w:rsid w:val="00643143"/>
    <w:rsid w:val="006433ED"/>
    <w:rsid w:val="00643C5D"/>
    <w:rsid w:val="006443FC"/>
    <w:rsid w:val="00645624"/>
    <w:rsid w:val="00645C81"/>
    <w:rsid w:val="00645CDD"/>
    <w:rsid w:val="006466A3"/>
    <w:rsid w:val="00646D43"/>
    <w:rsid w:val="00647C7C"/>
    <w:rsid w:val="0065026A"/>
    <w:rsid w:val="006511D8"/>
    <w:rsid w:val="00651DC0"/>
    <w:rsid w:val="006528D8"/>
    <w:rsid w:val="00653305"/>
    <w:rsid w:val="0065341E"/>
    <w:rsid w:val="00653ACC"/>
    <w:rsid w:val="00653D44"/>
    <w:rsid w:val="00654970"/>
    <w:rsid w:val="006553C2"/>
    <w:rsid w:val="00655AC5"/>
    <w:rsid w:val="00655EC8"/>
    <w:rsid w:val="006562EE"/>
    <w:rsid w:val="00660316"/>
    <w:rsid w:val="0066098A"/>
    <w:rsid w:val="0066112E"/>
    <w:rsid w:val="00661BFD"/>
    <w:rsid w:val="00662C64"/>
    <w:rsid w:val="0066305B"/>
    <w:rsid w:val="006631D2"/>
    <w:rsid w:val="0066404A"/>
    <w:rsid w:val="0066416D"/>
    <w:rsid w:val="006641BF"/>
    <w:rsid w:val="00664BCD"/>
    <w:rsid w:val="00664BF5"/>
    <w:rsid w:val="00666028"/>
    <w:rsid w:val="006664A5"/>
    <w:rsid w:val="00666782"/>
    <w:rsid w:val="006669EA"/>
    <w:rsid w:val="00666D3A"/>
    <w:rsid w:val="00667ACC"/>
    <w:rsid w:val="006704C1"/>
    <w:rsid w:val="0067108F"/>
    <w:rsid w:val="0067188F"/>
    <w:rsid w:val="00671EAB"/>
    <w:rsid w:val="00672123"/>
    <w:rsid w:val="0067256E"/>
    <w:rsid w:val="00673CD7"/>
    <w:rsid w:val="00674160"/>
    <w:rsid w:val="00674C34"/>
    <w:rsid w:val="00674E46"/>
    <w:rsid w:val="00675A5C"/>
    <w:rsid w:val="00675DC2"/>
    <w:rsid w:val="00677EB4"/>
    <w:rsid w:val="006801E2"/>
    <w:rsid w:val="006809EC"/>
    <w:rsid w:val="00680A22"/>
    <w:rsid w:val="0068166E"/>
    <w:rsid w:val="00682A1D"/>
    <w:rsid w:val="00683D13"/>
    <w:rsid w:val="00683E20"/>
    <w:rsid w:val="006841D7"/>
    <w:rsid w:val="00685A1A"/>
    <w:rsid w:val="00685BD3"/>
    <w:rsid w:val="0068713B"/>
    <w:rsid w:val="0068726B"/>
    <w:rsid w:val="006875C7"/>
    <w:rsid w:val="00690346"/>
    <w:rsid w:val="006907E2"/>
    <w:rsid w:val="00690887"/>
    <w:rsid w:val="0069200C"/>
    <w:rsid w:val="00692C3D"/>
    <w:rsid w:val="00692D1D"/>
    <w:rsid w:val="00693ABA"/>
    <w:rsid w:val="0069511E"/>
    <w:rsid w:val="00697967"/>
    <w:rsid w:val="00697BD5"/>
    <w:rsid w:val="006A0428"/>
    <w:rsid w:val="006A04C9"/>
    <w:rsid w:val="006A04E8"/>
    <w:rsid w:val="006A0707"/>
    <w:rsid w:val="006A095C"/>
    <w:rsid w:val="006A11DD"/>
    <w:rsid w:val="006A1627"/>
    <w:rsid w:val="006A18D5"/>
    <w:rsid w:val="006A18F4"/>
    <w:rsid w:val="006A205D"/>
    <w:rsid w:val="006A2BC7"/>
    <w:rsid w:val="006A5C10"/>
    <w:rsid w:val="006A5D3C"/>
    <w:rsid w:val="006A687E"/>
    <w:rsid w:val="006A6E4C"/>
    <w:rsid w:val="006A6F71"/>
    <w:rsid w:val="006A7B09"/>
    <w:rsid w:val="006A7E28"/>
    <w:rsid w:val="006A7E68"/>
    <w:rsid w:val="006B06A4"/>
    <w:rsid w:val="006B09E6"/>
    <w:rsid w:val="006B144B"/>
    <w:rsid w:val="006B1E83"/>
    <w:rsid w:val="006B24FF"/>
    <w:rsid w:val="006B3474"/>
    <w:rsid w:val="006B348C"/>
    <w:rsid w:val="006B3B07"/>
    <w:rsid w:val="006B5631"/>
    <w:rsid w:val="006B582C"/>
    <w:rsid w:val="006B6697"/>
    <w:rsid w:val="006B67B0"/>
    <w:rsid w:val="006B6DC8"/>
    <w:rsid w:val="006B7C39"/>
    <w:rsid w:val="006B7FFB"/>
    <w:rsid w:val="006C011E"/>
    <w:rsid w:val="006C0573"/>
    <w:rsid w:val="006C09AD"/>
    <w:rsid w:val="006C0A59"/>
    <w:rsid w:val="006C0EC6"/>
    <w:rsid w:val="006C1D65"/>
    <w:rsid w:val="006C2EC2"/>
    <w:rsid w:val="006C3A0C"/>
    <w:rsid w:val="006C422C"/>
    <w:rsid w:val="006C4571"/>
    <w:rsid w:val="006C4894"/>
    <w:rsid w:val="006C4C0F"/>
    <w:rsid w:val="006C58A0"/>
    <w:rsid w:val="006C5971"/>
    <w:rsid w:val="006C59B3"/>
    <w:rsid w:val="006C5C43"/>
    <w:rsid w:val="006C5EF1"/>
    <w:rsid w:val="006C6579"/>
    <w:rsid w:val="006C6844"/>
    <w:rsid w:val="006C6A8D"/>
    <w:rsid w:val="006C7466"/>
    <w:rsid w:val="006C7D62"/>
    <w:rsid w:val="006D0452"/>
    <w:rsid w:val="006D0696"/>
    <w:rsid w:val="006D0E0C"/>
    <w:rsid w:val="006D1426"/>
    <w:rsid w:val="006D23AA"/>
    <w:rsid w:val="006D2776"/>
    <w:rsid w:val="006D3C89"/>
    <w:rsid w:val="006D4F51"/>
    <w:rsid w:val="006D5741"/>
    <w:rsid w:val="006D5AC3"/>
    <w:rsid w:val="006D5B45"/>
    <w:rsid w:val="006D6E30"/>
    <w:rsid w:val="006E0462"/>
    <w:rsid w:val="006E136B"/>
    <w:rsid w:val="006E187D"/>
    <w:rsid w:val="006E1D5E"/>
    <w:rsid w:val="006E21D3"/>
    <w:rsid w:val="006E31D3"/>
    <w:rsid w:val="006E339F"/>
    <w:rsid w:val="006E3633"/>
    <w:rsid w:val="006E4206"/>
    <w:rsid w:val="006E43F2"/>
    <w:rsid w:val="006E4771"/>
    <w:rsid w:val="006E4BB4"/>
    <w:rsid w:val="006E5EC5"/>
    <w:rsid w:val="006E6C0F"/>
    <w:rsid w:val="006E6D0B"/>
    <w:rsid w:val="006E74E8"/>
    <w:rsid w:val="006E7C52"/>
    <w:rsid w:val="006E7D5F"/>
    <w:rsid w:val="006F095E"/>
    <w:rsid w:val="006F0E2A"/>
    <w:rsid w:val="006F15F6"/>
    <w:rsid w:val="006F252F"/>
    <w:rsid w:val="006F3AF7"/>
    <w:rsid w:val="006F3E93"/>
    <w:rsid w:val="006F495E"/>
    <w:rsid w:val="006F53C8"/>
    <w:rsid w:val="006F5673"/>
    <w:rsid w:val="006F589D"/>
    <w:rsid w:val="006F5962"/>
    <w:rsid w:val="006F6016"/>
    <w:rsid w:val="006F6A92"/>
    <w:rsid w:val="006F6CEA"/>
    <w:rsid w:val="006F71AA"/>
    <w:rsid w:val="006F78BB"/>
    <w:rsid w:val="006F7F63"/>
    <w:rsid w:val="007004FE"/>
    <w:rsid w:val="00700567"/>
    <w:rsid w:val="00700844"/>
    <w:rsid w:val="00700953"/>
    <w:rsid w:val="00701A84"/>
    <w:rsid w:val="0070410B"/>
    <w:rsid w:val="00704E73"/>
    <w:rsid w:val="00705BE4"/>
    <w:rsid w:val="00705DF2"/>
    <w:rsid w:val="0070600A"/>
    <w:rsid w:val="00706253"/>
    <w:rsid w:val="00706DC6"/>
    <w:rsid w:val="00706DC7"/>
    <w:rsid w:val="00707FA5"/>
    <w:rsid w:val="007106FC"/>
    <w:rsid w:val="00710703"/>
    <w:rsid w:val="00710B18"/>
    <w:rsid w:val="00710D2A"/>
    <w:rsid w:val="00710FBC"/>
    <w:rsid w:val="007113FC"/>
    <w:rsid w:val="00711A08"/>
    <w:rsid w:val="00711E95"/>
    <w:rsid w:val="00712450"/>
    <w:rsid w:val="00713655"/>
    <w:rsid w:val="007145ED"/>
    <w:rsid w:val="007145F7"/>
    <w:rsid w:val="0071466D"/>
    <w:rsid w:val="00714DB7"/>
    <w:rsid w:val="00714F28"/>
    <w:rsid w:val="00715C5F"/>
    <w:rsid w:val="00716175"/>
    <w:rsid w:val="00716185"/>
    <w:rsid w:val="0071629A"/>
    <w:rsid w:val="0071694C"/>
    <w:rsid w:val="0071739C"/>
    <w:rsid w:val="00717C42"/>
    <w:rsid w:val="00720982"/>
    <w:rsid w:val="00720C10"/>
    <w:rsid w:val="007212D0"/>
    <w:rsid w:val="007213E1"/>
    <w:rsid w:val="00722F68"/>
    <w:rsid w:val="00723148"/>
    <w:rsid w:val="007232B2"/>
    <w:rsid w:val="00723495"/>
    <w:rsid w:val="00723C8E"/>
    <w:rsid w:val="00725827"/>
    <w:rsid w:val="007261DB"/>
    <w:rsid w:val="0072653B"/>
    <w:rsid w:val="00726FEF"/>
    <w:rsid w:val="007272FD"/>
    <w:rsid w:val="00727406"/>
    <w:rsid w:val="00730155"/>
    <w:rsid w:val="007309D1"/>
    <w:rsid w:val="007316E6"/>
    <w:rsid w:val="00731AFA"/>
    <w:rsid w:val="00732928"/>
    <w:rsid w:val="00732EC9"/>
    <w:rsid w:val="00733681"/>
    <w:rsid w:val="00734BCA"/>
    <w:rsid w:val="00735077"/>
    <w:rsid w:val="00735B86"/>
    <w:rsid w:val="007361C5"/>
    <w:rsid w:val="007364E7"/>
    <w:rsid w:val="00736896"/>
    <w:rsid w:val="00736E8F"/>
    <w:rsid w:val="00737769"/>
    <w:rsid w:val="00737F19"/>
    <w:rsid w:val="0074003D"/>
    <w:rsid w:val="00740BE3"/>
    <w:rsid w:val="00740F47"/>
    <w:rsid w:val="00740FE9"/>
    <w:rsid w:val="0074197B"/>
    <w:rsid w:val="00741D57"/>
    <w:rsid w:val="0074257A"/>
    <w:rsid w:val="00742660"/>
    <w:rsid w:val="00742CD3"/>
    <w:rsid w:val="00742E2B"/>
    <w:rsid w:val="007436C8"/>
    <w:rsid w:val="00743EC8"/>
    <w:rsid w:val="00744776"/>
    <w:rsid w:val="00744938"/>
    <w:rsid w:val="00744A95"/>
    <w:rsid w:val="00745307"/>
    <w:rsid w:val="0074561A"/>
    <w:rsid w:val="00745A41"/>
    <w:rsid w:val="00747187"/>
    <w:rsid w:val="007474CF"/>
    <w:rsid w:val="00747EBD"/>
    <w:rsid w:val="00750532"/>
    <w:rsid w:val="00750868"/>
    <w:rsid w:val="007519AA"/>
    <w:rsid w:val="00752017"/>
    <w:rsid w:val="007536D7"/>
    <w:rsid w:val="00753A6A"/>
    <w:rsid w:val="00753CE9"/>
    <w:rsid w:val="00755320"/>
    <w:rsid w:val="00755DBE"/>
    <w:rsid w:val="00755ECD"/>
    <w:rsid w:val="00757F20"/>
    <w:rsid w:val="0076001A"/>
    <w:rsid w:val="00760D26"/>
    <w:rsid w:val="0076129C"/>
    <w:rsid w:val="0076130D"/>
    <w:rsid w:val="00761395"/>
    <w:rsid w:val="00762451"/>
    <w:rsid w:val="007624D6"/>
    <w:rsid w:val="007625CB"/>
    <w:rsid w:val="00762DE9"/>
    <w:rsid w:val="007633AD"/>
    <w:rsid w:val="0076366A"/>
    <w:rsid w:val="00764603"/>
    <w:rsid w:val="00764B2D"/>
    <w:rsid w:val="00764BA2"/>
    <w:rsid w:val="007650A3"/>
    <w:rsid w:val="0076528E"/>
    <w:rsid w:val="00765DB2"/>
    <w:rsid w:val="00766D36"/>
    <w:rsid w:val="00766E67"/>
    <w:rsid w:val="00770529"/>
    <w:rsid w:val="0077140A"/>
    <w:rsid w:val="00771B70"/>
    <w:rsid w:val="00772123"/>
    <w:rsid w:val="007732A2"/>
    <w:rsid w:val="0077384F"/>
    <w:rsid w:val="007754F3"/>
    <w:rsid w:val="007756E2"/>
    <w:rsid w:val="0077571D"/>
    <w:rsid w:val="00775BAB"/>
    <w:rsid w:val="0077710C"/>
    <w:rsid w:val="00777239"/>
    <w:rsid w:val="00780277"/>
    <w:rsid w:val="0078027A"/>
    <w:rsid w:val="00780361"/>
    <w:rsid w:val="007805ED"/>
    <w:rsid w:val="00780D73"/>
    <w:rsid w:val="00780F28"/>
    <w:rsid w:val="00781F0B"/>
    <w:rsid w:val="0078321F"/>
    <w:rsid w:val="00783E77"/>
    <w:rsid w:val="00784D73"/>
    <w:rsid w:val="00786F8D"/>
    <w:rsid w:val="007879ED"/>
    <w:rsid w:val="00787E2A"/>
    <w:rsid w:val="00790108"/>
    <w:rsid w:val="00790362"/>
    <w:rsid w:val="00790A89"/>
    <w:rsid w:val="00790FB4"/>
    <w:rsid w:val="00791126"/>
    <w:rsid w:val="00791C8E"/>
    <w:rsid w:val="00793855"/>
    <w:rsid w:val="00793A2A"/>
    <w:rsid w:val="00794483"/>
    <w:rsid w:val="007951CD"/>
    <w:rsid w:val="007965CB"/>
    <w:rsid w:val="007966C8"/>
    <w:rsid w:val="00796977"/>
    <w:rsid w:val="0079769C"/>
    <w:rsid w:val="00797C3C"/>
    <w:rsid w:val="00797F99"/>
    <w:rsid w:val="007A006C"/>
    <w:rsid w:val="007A14D1"/>
    <w:rsid w:val="007A170B"/>
    <w:rsid w:val="007A1A2B"/>
    <w:rsid w:val="007A1D6C"/>
    <w:rsid w:val="007A2769"/>
    <w:rsid w:val="007A347D"/>
    <w:rsid w:val="007A3DCA"/>
    <w:rsid w:val="007A3ECE"/>
    <w:rsid w:val="007A46E8"/>
    <w:rsid w:val="007A4976"/>
    <w:rsid w:val="007A5602"/>
    <w:rsid w:val="007A6371"/>
    <w:rsid w:val="007A65DF"/>
    <w:rsid w:val="007A6F47"/>
    <w:rsid w:val="007A77E4"/>
    <w:rsid w:val="007B07CE"/>
    <w:rsid w:val="007B0AC0"/>
    <w:rsid w:val="007B123C"/>
    <w:rsid w:val="007B130B"/>
    <w:rsid w:val="007B1A8C"/>
    <w:rsid w:val="007B1D19"/>
    <w:rsid w:val="007B2F8E"/>
    <w:rsid w:val="007B384F"/>
    <w:rsid w:val="007B3E5C"/>
    <w:rsid w:val="007B4220"/>
    <w:rsid w:val="007B437B"/>
    <w:rsid w:val="007B43E9"/>
    <w:rsid w:val="007B4530"/>
    <w:rsid w:val="007B53A9"/>
    <w:rsid w:val="007B5479"/>
    <w:rsid w:val="007B62A3"/>
    <w:rsid w:val="007B6C00"/>
    <w:rsid w:val="007B6C97"/>
    <w:rsid w:val="007B6CB4"/>
    <w:rsid w:val="007C02B5"/>
    <w:rsid w:val="007C03D1"/>
    <w:rsid w:val="007C08CE"/>
    <w:rsid w:val="007C0F60"/>
    <w:rsid w:val="007C28F7"/>
    <w:rsid w:val="007C2E93"/>
    <w:rsid w:val="007C41F1"/>
    <w:rsid w:val="007C5231"/>
    <w:rsid w:val="007C62E7"/>
    <w:rsid w:val="007C730A"/>
    <w:rsid w:val="007C73F0"/>
    <w:rsid w:val="007C7462"/>
    <w:rsid w:val="007D0EE5"/>
    <w:rsid w:val="007D1038"/>
    <w:rsid w:val="007D121F"/>
    <w:rsid w:val="007D1730"/>
    <w:rsid w:val="007D22D5"/>
    <w:rsid w:val="007D273D"/>
    <w:rsid w:val="007D27C4"/>
    <w:rsid w:val="007D3422"/>
    <w:rsid w:val="007D3472"/>
    <w:rsid w:val="007D39C7"/>
    <w:rsid w:val="007D3C72"/>
    <w:rsid w:val="007D48BB"/>
    <w:rsid w:val="007D548F"/>
    <w:rsid w:val="007D5B5C"/>
    <w:rsid w:val="007D6977"/>
    <w:rsid w:val="007D6B01"/>
    <w:rsid w:val="007D7571"/>
    <w:rsid w:val="007D7620"/>
    <w:rsid w:val="007E022D"/>
    <w:rsid w:val="007E091C"/>
    <w:rsid w:val="007E1064"/>
    <w:rsid w:val="007E1396"/>
    <w:rsid w:val="007E2787"/>
    <w:rsid w:val="007E29DC"/>
    <w:rsid w:val="007E33FA"/>
    <w:rsid w:val="007E46F2"/>
    <w:rsid w:val="007E4736"/>
    <w:rsid w:val="007E4A53"/>
    <w:rsid w:val="007E5106"/>
    <w:rsid w:val="007E5144"/>
    <w:rsid w:val="007E6EFD"/>
    <w:rsid w:val="007E7403"/>
    <w:rsid w:val="007E75EE"/>
    <w:rsid w:val="007F070B"/>
    <w:rsid w:val="007F0AE5"/>
    <w:rsid w:val="007F13C3"/>
    <w:rsid w:val="007F2AA9"/>
    <w:rsid w:val="007F32B0"/>
    <w:rsid w:val="007F3774"/>
    <w:rsid w:val="007F4614"/>
    <w:rsid w:val="007F4A48"/>
    <w:rsid w:val="007F503A"/>
    <w:rsid w:val="007F5FCB"/>
    <w:rsid w:val="007F623B"/>
    <w:rsid w:val="007F65E4"/>
    <w:rsid w:val="007F6833"/>
    <w:rsid w:val="007F713C"/>
    <w:rsid w:val="007F7D7D"/>
    <w:rsid w:val="0080033B"/>
    <w:rsid w:val="00800CCF"/>
    <w:rsid w:val="00801C78"/>
    <w:rsid w:val="00801E7D"/>
    <w:rsid w:val="00801EB2"/>
    <w:rsid w:val="00802B8F"/>
    <w:rsid w:val="008035BD"/>
    <w:rsid w:val="008042F9"/>
    <w:rsid w:val="00804344"/>
    <w:rsid w:val="00804559"/>
    <w:rsid w:val="0080477D"/>
    <w:rsid w:val="00804878"/>
    <w:rsid w:val="00804A3E"/>
    <w:rsid w:val="00804AAB"/>
    <w:rsid w:val="0080611A"/>
    <w:rsid w:val="00806B6A"/>
    <w:rsid w:val="0081040A"/>
    <w:rsid w:val="00811424"/>
    <w:rsid w:val="008131B0"/>
    <w:rsid w:val="008132BF"/>
    <w:rsid w:val="008133D7"/>
    <w:rsid w:val="00813CB2"/>
    <w:rsid w:val="00813F72"/>
    <w:rsid w:val="0081407E"/>
    <w:rsid w:val="00814782"/>
    <w:rsid w:val="00815615"/>
    <w:rsid w:val="00815F61"/>
    <w:rsid w:val="00816FCD"/>
    <w:rsid w:val="008172DC"/>
    <w:rsid w:val="00817783"/>
    <w:rsid w:val="00820742"/>
    <w:rsid w:val="008211C4"/>
    <w:rsid w:val="008213EC"/>
    <w:rsid w:val="00822097"/>
    <w:rsid w:val="00823217"/>
    <w:rsid w:val="0082463D"/>
    <w:rsid w:val="0082488A"/>
    <w:rsid w:val="00824D4A"/>
    <w:rsid w:val="00824FAB"/>
    <w:rsid w:val="008250AC"/>
    <w:rsid w:val="00826A84"/>
    <w:rsid w:val="008271DC"/>
    <w:rsid w:val="0082774E"/>
    <w:rsid w:val="00830013"/>
    <w:rsid w:val="0083099A"/>
    <w:rsid w:val="00831155"/>
    <w:rsid w:val="00831D07"/>
    <w:rsid w:val="00833B9E"/>
    <w:rsid w:val="00833E4A"/>
    <w:rsid w:val="00834056"/>
    <w:rsid w:val="00834A83"/>
    <w:rsid w:val="00834B30"/>
    <w:rsid w:val="00835976"/>
    <w:rsid w:val="0083684A"/>
    <w:rsid w:val="00836D9A"/>
    <w:rsid w:val="00837238"/>
    <w:rsid w:val="008376F3"/>
    <w:rsid w:val="008409B4"/>
    <w:rsid w:val="00840E3E"/>
    <w:rsid w:val="00842456"/>
    <w:rsid w:val="008429C7"/>
    <w:rsid w:val="00842D27"/>
    <w:rsid w:val="00843D26"/>
    <w:rsid w:val="00844380"/>
    <w:rsid w:val="00845F74"/>
    <w:rsid w:val="0084704A"/>
    <w:rsid w:val="00847A2F"/>
    <w:rsid w:val="00850225"/>
    <w:rsid w:val="008505DB"/>
    <w:rsid w:val="0085063A"/>
    <w:rsid w:val="00850774"/>
    <w:rsid w:val="0085107B"/>
    <w:rsid w:val="00851280"/>
    <w:rsid w:val="00851BF7"/>
    <w:rsid w:val="00851E29"/>
    <w:rsid w:val="00852885"/>
    <w:rsid w:val="008529AE"/>
    <w:rsid w:val="00852DE9"/>
    <w:rsid w:val="008538D0"/>
    <w:rsid w:val="00853DFF"/>
    <w:rsid w:val="00854683"/>
    <w:rsid w:val="008551A4"/>
    <w:rsid w:val="00855494"/>
    <w:rsid w:val="00855AE6"/>
    <w:rsid w:val="0085726B"/>
    <w:rsid w:val="008573CA"/>
    <w:rsid w:val="0085780A"/>
    <w:rsid w:val="00857BD3"/>
    <w:rsid w:val="00860A01"/>
    <w:rsid w:val="0086197C"/>
    <w:rsid w:val="00862F90"/>
    <w:rsid w:val="00863601"/>
    <w:rsid w:val="00863EC8"/>
    <w:rsid w:val="008640B9"/>
    <w:rsid w:val="008641BE"/>
    <w:rsid w:val="00865201"/>
    <w:rsid w:val="0086639E"/>
    <w:rsid w:val="00866F61"/>
    <w:rsid w:val="008670C5"/>
    <w:rsid w:val="00867363"/>
    <w:rsid w:val="00870555"/>
    <w:rsid w:val="00871203"/>
    <w:rsid w:val="0087142B"/>
    <w:rsid w:val="00871960"/>
    <w:rsid w:val="0087231F"/>
    <w:rsid w:val="00872A2D"/>
    <w:rsid w:val="00872C9B"/>
    <w:rsid w:val="00873110"/>
    <w:rsid w:val="008735B3"/>
    <w:rsid w:val="00873689"/>
    <w:rsid w:val="00873A9C"/>
    <w:rsid w:val="00874050"/>
    <w:rsid w:val="0087412E"/>
    <w:rsid w:val="008741C3"/>
    <w:rsid w:val="00874DC8"/>
    <w:rsid w:val="00874F9E"/>
    <w:rsid w:val="00875690"/>
    <w:rsid w:val="008762DC"/>
    <w:rsid w:val="00876364"/>
    <w:rsid w:val="00877207"/>
    <w:rsid w:val="008776D4"/>
    <w:rsid w:val="0088036E"/>
    <w:rsid w:val="00881CF7"/>
    <w:rsid w:val="008824CB"/>
    <w:rsid w:val="008824FD"/>
    <w:rsid w:val="0088321B"/>
    <w:rsid w:val="00884452"/>
    <w:rsid w:val="00885663"/>
    <w:rsid w:val="0088576D"/>
    <w:rsid w:val="008859F5"/>
    <w:rsid w:val="008865F3"/>
    <w:rsid w:val="008913CC"/>
    <w:rsid w:val="00891799"/>
    <w:rsid w:val="00891AD9"/>
    <w:rsid w:val="00891D3A"/>
    <w:rsid w:val="008921AF"/>
    <w:rsid w:val="0089256A"/>
    <w:rsid w:val="00892A4F"/>
    <w:rsid w:val="00892D11"/>
    <w:rsid w:val="00894251"/>
    <w:rsid w:val="00895134"/>
    <w:rsid w:val="00896058"/>
    <w:rsid w:val="00896C87"/>
    <w:rsid w:val="00896E56"/>
    <w:rsid w:val="00897224"/>
    <w:rsid w:val="00897A6A"/>
    <w:rsid w:val="008A0203"/>
    <w:rsid w:val="008A0495"/>
    <w:rsid w:val="008A0782"/>
    <w:rsid w:val="008A139E"/>
    <w:rsid w:val="008A215F"/>
    <w:rsid w:val="008A2833"/>
    <w:rsid w:val="008A34A5"/>
    <w:rsid w:val="008A3C50"/>
    <w:rsid w:val="008A4EBA"/>
    <w:rsid w:val="008A4ED0"/>
    <w:rsid w:val="008A5C69"/>
    <w:rsid w:val="008A720E"/>
    <w:rsid w:val="008A764D"/>
    <w:rsid w:val="008B0A35"/>
    <w:rsid w:val="008B0D9E"/>
    <w:rsid w:val="008B10C1"/>
    <w:rsid w:val="008B2218"/>
    <w:rsid w:val="008B39FB"/>
    <w:rsid w:val="008B3D28"/>
    <w:rsid w:val="008B4062"/>
    <w:rsid w:val="008B4305"/>
    <w:rsid w:val="008B4352"/>
    <w:rsid w:val="008B4530"/>
    <w:rsid w:val="008B65E5"/>
    <w:rsid w:val="008B6C8E"/>
    <w:rsid w:val="008B6D56"/>
    <w:rsid w:val="008C03CC"/>
    <w:rsid w:val="008C0CA8"/>
    <w:rsid w:val="008C2512"/>
    <w:rsid w:val="008C2E2D"/>
    <w:rsid w:val="008C3367"/>
    <w:rsid w:val="008C3949"/>
    <w:rsid w:val="008C4521"/>
    <w:rsid w:val="008C5993"/>
    <w:rsid w:val="008C64D7"/>
    <w:rsid w:val="008C660B"/>
    <w:rsid w:val="008C69FA"/>
    <w:rsid w:val="008C783B"/>
    <w:rsid w:val="008C7DDB"/>
    <w:rsid w:val="008C7E98"/>
    <w:rsid w:val="008D001A"/>
    <w:rsid w:val="008D03BF"/>
    <w:rsid w:val="008D16C1"/>
    <w:rsid w:val="008D259A"/>
    <w:rsid w:val="008D27AC"/>
    <w:rsid w:val="008D2EAD"/>
    <w:rsid w:val="008D3F46"/>
    <w:rsid w:val="008D44FB"/>
    <w:rsid w:val="008D4C5B"/>
    <w:rsid w:val="008D6246"/>
    <w:rsid w:val="008D629C"/>
    <w:rsid w:val="008D69EA"/>
    <w:rsid w:val="008D7413"/>
    <w:rsid w:val="008D7624"/>
    <w:rsid w:val="008E1889"/>
    <w:rsid w:val="008E2BDC"/>
    <w:rsid w:val="008E3362"/>
    <w:rsid w:val="008E502B"/>
    <w:rsid w:val="008E61AB"/>
    <w:rsid w:val="008E6439"/>
    <w:rsid w:val="008E6515"/>
    <w:rsid w:val="008E6861"/>
    <w:rsid w:val="008F0897"/>
    <w:rsid w:val="008F0DD8"/>
    <w:rsid w:val="008F1AC0"/>
    <w:rsid w:val="008F2354"/>
    <w:rsid w:val="008F3031"/>
    <w:rsid w:val="008F352F"/>
    <w:rsid w:val="008F41CE"/>
    <w:rsid w:val="008F4DA0"/>
    <w:rsid w:val="008F5A7E"/>
    <w:rsid w:val="008F62F8"/>
    <w:rsid w:val="008F6313"/>
    <w:rsid w:val="008F6D30"/>
    <w:rsid w:val="008F709F"/>
    <w:rsid w:val="008F7A72"/>
    <w:rsid w:val="008F7C99"/>
    <w:rsid w:val="009000B5"/>
    <w:rsid w:val="00900252"/>
    <w:rsid w:val="009004A0"/>
    <w:rsid w:val="00900527"/>
    <w:rsid w:val="009006B3"/>
    <w:rsid w:val="00900853"/>
    <w:rsid w:val="00900D81"/>
    <w:rsid w:val="00901D1E"/>
    <w:rsid w:val="00902117"/>
    <w:rsid w:val="00902AD5"/>
    <w:rsid w:val="00903EED"/>
    <w:rsid w:val="009040EB"/>
    <w:rsid w:val="0090502E"/>
    <w:rsid w:val="009070B1"/>
    <w:rsid w:val="00907475"/>
    <w:rsid w:val="00907726"/>
    <w:rsid w:val="009112B3"/>
    <w:rsid w:val="0091136A"/>
    <w:rsid w:val="0091187E"/>
    <w:rsid w:val="009120EA"/>
    <w:rsid w:val="009120FB"/>
    <w:rsid w:val="00912747"/>
    <w:rsid w:val="00912CFE"/>
    <w:rsid w:val="00913001"/>
    <w:rsid w:val="00913384"/>
    <w:rsid w:val="00913825"/>
    <w:rsid w:val="00914398"/>
    <w:rsid w:val="009144F7"/>
    <w:rsid w:val="00914835"/>
    <w:rsid w:val="00915A75"/>
    <w:rsid w:val="00915E1E"/>
    <w:rsid w:val="00915E21"/>
    <w:rsid w:val="009165F5"/>
    <w:rsid w:val="0091719A"/>
    <w:rsid w:val="009176BE"/>
    <w:rsid w:val="00917EA5"/>
    <w:rsid w:val="00920074"/>
    <w:rsid w:val="00921CB1"/>
    <w:rsid w:val="00922E98"/>
    <w:rsid w:val="009235DE"/>
    <w:rsid w:val="00923CDC"/>
    <w:rsid w:val="00923DB5"/>
    <w:rsid w:val="00923E5A"/>
    <w:rsid w:val="00924D37"/>
    <w:rsid w:val="00925260"/>
    <w:rsid w:val="0092629B"/>
    <w:rsid w:val="00926302"/>
    <w:rsid w:val="0092706C"/>
    <w:rsid w:val="009276EA"/>
    <w:rsid w:val="009279A8"/>
    <w:rsid w:val="00927F77"/>
    <w:rsid w:val="00930267"/>
    <w:rsid w:val="0093033A"/>
    <w:rsid w:val="00932D8C"/>
    <w:rsid w:val="00933B72"/>
    <w:rsid w:val="009341A5"/>
    <w:rsid w:val="00935536"/>
    <w:rsid w:val="00935830"/>
    <w:rsid w:val="00936929"/>
    <w:rsid w:val="00936F45"/>
    <w:rsid w:val="00937E74"/>
    <w:rsid w:val="0094028B"/>
    <w:rsid w:val="00940A82"/>
    <w:rsid w:val="00940E61"/>
    <w:rsid w:val="009428F6"/>
    <w:rsid w:val="00942D7F"/>
    <w:rsid w:val="00943216"/>
    <w:rsid w:val="0094379B"/>
    <w:rsid w:val="00943EB7"/>
    <w:rsid w:val="009441D6"/>
    <w:rsid w:val="00946744"/>
    <w:rsid w:val="009468A8"/>
    <w:rsid w:val="00946C07"/>
    <w:rsid w:val="00946DE5"/>
    <w:rsid w:val="00946E61"/>
    <w:rsid w:val="00947B5F"/>
    <w:rsid w:val="00950643"/>
    <w:rsid w:val="0095075C"/>
    <w:rsid w:val="00950868"/>
    <w:rsid w:val="009519CB"/>
    <w:rsid w:val="00951C79"/>
    <w:rsid w:val="009522BA"/>
    <w:rsid w:val="009525FC"/>
    <w:rsid w:val="009530E8"/>
    <w:rsid w:val="0095349B"/>
    <w:rsid w:val="00953B79"/>
    <w:rsid w:val="0095491D"/>
    <w:rsid w:val="009559E8"/>
    <w:rsid w:val="00955F88"/>
    <w:rsid w:val="009560CE"/>
    <w:rsid w:val="009563EF"/>
    <w:rsid w:val="009567DF"/>
    <w:rsid w:val="00957DC2"/>
    <w:rsid w:val="00957F1B"/>
    <w:rsid w:val="009601A9"/>
    <w:rsid w:val="00960B43"/>
    <w:rsid w:val="00960FB8"/>
    <w:rsid w:val="00961291"/>
    <w:rsid w:val="00962C0E"/>
    <w:rsid w:val="00962D3C"/>
    <w:rsid w:val="00963696"/>
    <w:rsid w:val="00963900"/>
    <w:rsid w:val="00963F49"/>
    <w:rsid w:val="00964817"/>
    <w:rsid w:val="00964875"/>
    <w:rsid w:val="00965C17"/>
    <w:rsid w:val="00965C99"/>
    <w:rsid w:val="009669C2"/>
    <w:rsid w:val="00966B81"/>
    <w:rsid w:val="00966C67"/>
    <w:rsid w:val="00966C92"/>
    <w:rsid w:val="00966DD2"/>
    <w:rsid w:val="0096728F"/>
    <w:rsid w:val="00967EFB"/>
    <w:rsid w:val="00971197"/>
    <w:rsid w:val="00971B31"/>
    <w:rsid w:val="009721AD"/>
    <w:rsid w:val="00972805"/>
    <w:rsid w:val="009729D7"/>
    <w:rsid w:val="00972D4C"/>
    <w:rsid w:val="009735B6"/>
    <w:rsid w:val="00973AFD"/>
    <w:rsid w:val="00974539"/>
    <w:rsid w:val="0097493E"/>
    <w:rsid w:val="009761F4"/>
    <w:rsid w:val="00976AE1"/>
    <w:rsid w:val="00976C5B"/>
    <w:rsid w:val="00976D03"/>
    <w:rsid w:val="00976D39"/>
    <w:rsid w:val="00976D9B"/>
    <w:rsid w:val="009775E2"/>
    <w:rsid w:val="009779D6"/>
    <w:rsid w:val="00977A58"/>
    <w:rsid w:val="0098050F"/>
    <w:rsid w:val="0098123C"/>
    <w:rsid w:val="009812A9"/>
    <w:rsid w:val="00981B8A"/>
    <w:rsid w:val="00982F26"/>
    <w:rsid w:val="009830B6"/>
    <w:rsid w:val="00983154"/>
    <w:rsid w:val="00983403"/>
    <w:rsid w:val="009837C0"/>
    <w:rsid w:val="00983AC6"/>
    <w:rsid w:val="00985415"/>
    <w:rsid w:val="00985ECD"/>
    <w:rsid w:val="00986CAD"/>
    <w:rsid w:val="00987D23"/>
    <w:rsid w:val="00987FBB"/>
    <w:rsid w:val="00990565"/>
    <w:rsid w:val="00990E3E"/>
    <w:rsid w:val="00991696"/>
    <w:rsid w:val="00992388"/>
    <w:rsid w:val="009928DA"/>
    <w:rsid w:val="0099307A"/>
    <w:rsid w:val="00993A1A"/>
    <w:rsid w:val="0099440E"/>
    <w:rsid w:val="00994C13"/>
    <w:rsid w:val="009962CA"/>
    <w:rsid w:val="00996622"/>
    <w:rsid w:val="00997F51"/>
    <w:rsid w:val="009A0369"/>
    <w:rsid w:val="009A21E1"/>
    <w:rsid w:val="009A23CD"/>
    <w:rsid w:val="009A2465"/>
    <w:rsid w:val="009A2516"/>
    <w:rsid w:val="009A2576"/>
    <w:rsid w:val="009A2915"/>
    <w:rsid w:val="009A2A8A"/>
    <w:rsid w:val="009A2DCE"/>
    <w:rsid w:val="009A31F2"/>
    <w:rsid w:val="009A430F"/>
    <w:rsid w:val="009A5504"/>
    <w:rsid w:val="009A5C84"/>
    <w:rsid w:val="009A601F"/>
    <w:rsid w:val="009A6FEA"/>
    <w:rsid w:val="009A7605"/>
    <w:rsid w:val="009A7B28"/>
    <w:rsid w:val="009B1144"/>
    <w:rsid w:val="009B22E2"/>
    <w:rsid w:val="009B2A39"/>
    <w:rsid w:val="009B30D0"/>
    <w:rsid w:val="009B33F8"/>
    <w:rsid w:val="009B4429"/>
    <w:rsid w:val="009B45FE"/>
    <w:rsid w:val="009B523E"/>
    <w:rsid w:val="009B54D4"/>
    <w:rsid w:val="009B5756"/>
    <w:rsid w:val="009B5BAB"/>
    <w:rsid w:val="009B5D0A"/>
    <w:rsid w:val="009B5F87"/>
    <w:rsid w:val="009B6815"/>
    <w:rsid w:val="009B77B4"/>
    <w:rsid w:val="009B78A6"/>
    <w:rsid w:val="009B7B87"/>
    <w:rsid w:val="009B7E57"/>
    <w:rsid w:val="009C218F"/>
    <w:rsid w:val="009C2579"/>
    <w:rsid w:val="009C2781"/>
    <w:rsid w:val="009C2AE9"/>
    <w:rsid w:val="009C2C1F"/>
    <w:rsid w:val="009C56F3"/>
    <w:rsid w:val="009C5731"/>
    <w:rsid w:val="009C5DAE"/>
    <w:rsid w:val="009C600F"/>
    <w:rsid w:val="009C6DBD"/>
    <w:rsid w:val="009C7414"/>
    <w:rsid w:val="009D000B"/>
    <w:rsid w:val="009D05C4"/>
    <w:rsid w:val="009D0636"/>
    <w:rsid w:val="009D29F5"/>
    <w:rsid w:val="009D2A88"/>
    <w:rsid w:val="009D33CC"/>
    <w:rsid w:val="009D3653"/>
    <w:rsid w:val="009D3A13"/>
    <w:rsid w:val="009D4730"/>
    <w:rsid w:val="009D48F5"/>
    <w:rsid w:val="009D4DD6"/>
    <w:rsid w:val="009D54A4"/>
    <w:rsid w:val="009D561F"/>
    <w:rsid w:val="009D591E"/>
    <w:rsid w:val="009D5EAF"/>
    <w:rsid w:val="009D60FB"/>
    <w:rsid w:val="009E063E"/>
    <w:rsid w:val="009E2086"/>
    <w:rsid w:val="009E2134"/>
    <w:rsid w:val="009E2633"/>
    <w:rsid w:val="009E275E"/>
    <w:rsid w:val="009E29CD"/>
    <w:rsid w:val="009E2C37"/>
    <w:rsid w:val="009E3670"/>
    <w:rsid w:val="009E58C9"/>
    <w:rsid w:val="009E5D52"/>
    <w:rsid w:val="009E5EE7"/>
    <w:rsid w:val="009E5FBF"/>
    <w:rsid w:val="009E7AD4"/>
    <w:rsid w:val="009E7F67"/>
    <w:rsid w:val="009F0961"/>
    <w:rsid w:val="009F0F5A"/>
    <w:rsid w:val="009F12FC"/>
    <w:rsid w:val="009F195F"/>
    <w:rsid w:val="009F1EDC"/>
    <w:rsid w:val="009F1F09"/>
    <w:rsid w:val="009F2062"/>
    <w:rsid w:val="009F2092"/>
    <w:rsid w:val="009F2273"/>
    <w:rsid w:val="009F2F52"/>
    <w:rsid w:val="009F3549"/>
    <w:rsid w:val="009F3BBC"/>
    <w:rsid w:val="009F42DE"/>
    <w:rsid w:val="009F45DB"/>
    <w:rsid w:val="009F48A4"/>
    <w:rsid w:val="009F4B00"/>
    <w:rsid w:val="009F4DAD"/>
    <w:rsid w:val="009F51B1"/>
    <w:rsid w:val="009F6017"/>
    <w:rsid w:val="009F7770"/>
    <w:rsid w:val="00A00054"/>
    <w:rsid w:val="00A00622"/>
    <w:rsid w:val="00A008BB"/>
    <w:rsid w:val="00A00ACC"/>
    <w:rsid w:val="00A00F43"/>
    <w:rsid w:val="00A014F4"/>
    <w:rsid w:val="00A01A21"/>
    <w:rsid w:val="00A01BFC"/>
    <w:rsid w:val="00A0385A"/>
    <w:rsid w:val="00A03A0E"/>
    <w:rsid w:val="00A03E07"/>
    <w:rsid w:val="00A043F2"/>
    <w:rsid w:val="00A04646"/>
    <w:rsid w:val="00A04692"/>
    <w:rsid w:val="00A04843"/>
    <w:rsid w:val="00A04EEA"/>
    <w:rsid w:val="00A05698"/>
    <w:rsid w:val="00A0595F"/>
    <w:rsid w:val="00A05EFD"/>
    <w:rsid w:val="00A068F1"/>
    <w:rsid w:val="00A069FB"/>
    <w:rsid w:val="00A07265"/>
    <w:rsid w:val="00A07340"/>
    <w:rsid w:val="00A07B55"/>
    <w:rsid w:val="00A100EC"/>
    <w:rsid w:val="00A1019A"/>
    <w:rsid w:val="00A105B2"/>
    <w:rsid w:val="00A1123C"/>
    <w:rsid w:val="00A11831"/>
    <w:rsid w:val="00A11C1A"/>
    <w:rsid w:val="00A11F44"/>
    <w:rsid w:val="00A11F5D"/>
    <w:rsid w:val="00A14005"/>
    <w:rsid w:val="00A141D8"/>
    <w:rsid w:val="00A14232"/>
    <w:rsid w:val="00A14E65"/>
    <w:rsid w:val="00A14E91"/>
    <w:rsid w:val="00A154BB"/>
    <w:rsid w:val="00A15AA2"/>
    <w:rsid w:val="00A16CFE"/>
    <w:rsid w:val="00A17E5E"/>
    <w:rsid w:val="00A17EAD"/>
    <w:rsid w:val="00A20057"/>
    <w:rsid w:val="00A2012D"/>
    <w:rsid w:val="00A209CC"/>
    <w:rsid w:val="00A211F8"/>
    <w:rsid w:val="00A212DA"/>
    <w:rsid w:val="00A21DBE"/>
    <w:rsid w:val="00A227E2"/>
    <w:rsid w:val="00A22E36"/>
    <w:rsid w:val="00A231A8"/>
    <w:rsid w:val="00A24AB0"/>
    <w:rsid w:val="00A253CE"/>
    <w:rsid w:val="00A26C19"/>
    <w:rsid w:val="00A26CF8"/>
    <w:rsid w:val="00A3001F"/>
    <w:rsid w:val="00A310CE"/>
    <w:rsid w:val="00A31270"/>
    <w:rsid w:val="00A31A0F"/>
    <w:rsid w:val="00A31DB4"/>
    <w:rsid w:val="00A327E8"/>
    <w:rsid w:val="00A3307D"/>
    <w:rsid w:val="00A336A1"/>
    <w:rsid w:val="00A340D4"/>
    <w:rsid w:val="00A3413A"/>
    <w:rsid w:val="00A341F2"/>
    <w:rsid w:val="00A351E8"/>
    <w:rsid w:val="00A3580D"/>
    <w:rsid w:val="00A35907"/>
    <w:rsid w:val="00A35EBA"/>
    <w:rsid w:val="00A362F3"/>
    <w:rsid w:val="00A36AA4"/>
    <w:rsid w:val="00A36ABB"/>
    <w:rsid w:val="00A37D1D"/>
    <w:rsid w:val="00A403BF"/>
    <w:rsid w:val="00A40EAC"/>
    <w:rsid w:val="00A415FD"/>
    <w:rsid w:val="00A41CC6"/>
    <w:rsid w:val="00A42CC1"/>
    <w:rsid w:val="00A43139"/>
    <w:rsid w:val="00A43B18"/>
    <w:rsid w:val="00A454B0"/>
    <w:rsid w:val="00A46183"/>
    <w:rsid w:val="00A469AD"/>
    <w:rsid w:val="00A47DDC"/>
    <w:rsid w:val="00A50775"/>
    <w:rsid w:val="00A50C4D"/>
    <w:rsid w:val="00A51CA5"/>
    <w:rsid w:val="00A52397"/>
    <w:rsid w:val="00A536CA"/>
    <w:rsid w:val="00A53E71"/>
    <w:rsid w:val="00A53EFA"/>
    <w:rsid w:val="00A54039"/>
    <w:rsid w:val="00A54319"/>
    <w:rsid w:val="00A543E9"/>
    <w:rsid w:val="00A546D1"/>
    <w:rsid w:val="00A54935"/>
    <w:rsid w:val="00A54D57"/>
    <w:rsid w:val="00A55AD9"/>
    <w:rsid w:val="00A562F4"/>
    <w:rsid w:val="00A566C2"/>
    <w:rsid w:val="00A57153"/>
    <w:rsid w:val="00A57201"/>
    <w:rsid w:val="00A576DF"/>
    <w:rsid w:val="00A57D08"/>
    <w:rsid w:val="00A602DC"/>
    <w:rsid w:val="00A614F5"/>
    <w:rsid w:val="00A6344C"/>
    <w:rsid w:val="00A637C4"/>
    <w:rsid w:val="00A63A38"/>
    <w:rsid w:val="00A63FCE"/>
    <w:rsid w:val="00A64474"/>
    <w:rsid w:val="00A647AF"/>
    <w:rsid w:val="00A64CB5"/>
    <w:rsid w:val="00A6528F"/>
    <w:rsid w:val="00A65467"/>
    <w:rsid w:val="00A65BFA"/>
    <w:rsid w:val="00A667DF"/>
    <w:rsid w:val="00A67BB1"/>
    <w:rsid w:val="00A701EF"/>
    <w:rsid w:val="00A70D72"/>
    <w:rsid w:val="00A718AD"/>
    <w:rsid w:val="00A7208B"/>
    <w:rsid w:val="00A72EF4"/>
    <w:rsid w:val="00A73C44"/>
    <w:rsid w:val="00A7464D"/>
    <w:rsid w:val="00A75AA1"/>
    <w:rsid w:val="00A7636C"/>
    <w:rsid w:val="00A7749B"/>
    <w:rsid w:val="00A80B4A"/>
    <w:rsid w:val="00A8142D"/>
    <w:rsid w:val="00A81892"/>
    <w:rsid w:val="00A81E60"/>
    <w:rsid w:val="00A821AF"/>
    <w:rsid w:val="00A821C8"/>
    <w:rsid w:val="00A82687"/>
    <w:rsid w:val="00A82F04"/>
    <w:rsid w:val="00A8312D"/>
    <w:rsid w:val="00A83580"/>
    <w:rsid w:val="00A83623"/>
    <w:rsid w:val="00A850D8"/>
    <w:rsid w:val="00A852F9"/>
    <w:rsid w:val="00A855FD"/>
    <w:rsid w:val="00A86A1B"/>
    <w:rsid w:val="00A87079"/>
    <w:rsid w:val="00A87458"/>
    <w:rsid w:val="00A87943"/>
    <w:rsid w:val="00A90E40"/>
    <w:rsid w:val="00A91594"/>
    <w:rsid w:val="00A92554"/>
    <w:rsid w:val="00A925E1"/>
    <w:rsid w:val="00A92B26"/>
    <w:rsid w:val="00A93296"/>
    <w:rsid w:val="00A939FD"/>
    <w:rsid w:val="00A93BD4"/>
    <w:rsid w:val="00A945A9"/>
    <w:rsid w:val="00A9567E"/>
    <w:rsid w:val="00A9575A"/>
    <w:rsid w:val="00A95E2F"/>
    <w:rsid w:val="00A968A4"/>
    <w:rsid w:val="00A97B5D"/>
    <w:rsid w:val="00AA04DE"/>
    <w:rsid w:val="00AA0ED1"/>
    <w:rsid w:val="00AA17D4"/>
    <w:rsid w:val="00AA1998"/>
    <w:rsid w:val="00AA1AAB"/>
    <w:rsid w:val="00AA1FE5"/>
    <w:rsid w:val="00AA23F0"/>
    <w:rsid w:val="00AA2CB5"/>
    <w:rsid w:val="00AA3C19"/>
    <w:rsid w:val="00AA3C6F"/>
    <w:rsid w:val="00AA3D3E"/>
    <w:rsid w:val="00AA438A"/>
    <w:rsid w:val="00AA45BE"/>
    <w:rsid w:val="00AA4E0F"/>
    <w:rsid w:val="00AA4E98"/>
    <w:rsid w:val="00AA5254"/>
    <w:rsid w:val="00AA52BB"/>
    <w:rsid w:val="00AA5470"/>
    <w:rsid w:val="00AA54C0"/>
    <w:rsid w:val="00AA62E0"/>
    <w:rsid w:val="00AA63EE"/>
    <w:rsid w:val="00AA6BA8"/>
    <w:rsid w:val="00AA6FD3"/>
    <w:rsid w:val="00AA71D2"/>
    <w:rsid w:val="00AA72CB"/>
    <w:rsid w:val="00AA730E"/>
    <w:rsid w:val="00AA7A9C"/>
    <w:rsid w:val="00AB0305"/>
    <w:rsid w:val="00AB0EBF"/>
    <w:rsid w:val="00AB2567"/>
    <w:rsid w:val="00AB274A"/>
    <w:rsid w:val="00AB2DFA"/>
    <w:rsid w:val="00AB39FD"/>
    <w:rsid w:val="00AB457B"/>
    <w:rsid w:val="00AB4871"/>
    <w:rsid w:val="00AB50AC"/>
    <w:rsid w:val="00AB5612"/>
    <w:rsid w:val="00AB6D31"/>
    <w:rsid w:val="00AB6DCE"/>
    <w:rsid w:val="00AB774D"/>
    <w:rsid w:val="00AB7968"/>
    <w:rsid w:val="00AC0F16"/>
    <w:rsid w:val="00AC1078"/>
    <w:rsid w:val="00AC1FB0"/>
    <w:rsid w:val="00AC202D"/>
    <w:rsid w:val="00AC2362"/>
    <w:rsid w:val="00AC2996"/>
    <w:rsid w:val="00AC339E"/>
    <w:rsid w:val="00AC364C"/>
    <w:rsid w:val="00AC3FBB"/>
    <w:rsid w:val="00AC4088"/>
    <w:rsid w:val="00AC41D5"/>
    <w:rsid w:val="00AC4B4A"/>
    <w:rsid w:val="00AC4FC8"/>
    <w:rsid w:val="00AC5356"/>
    <w:rsid w:val="00AC5B4B"/>
    <w:rsid w:val="00AC5B87"/>
    <w:rsid w:val="00AC61A3"/>
    <w:rsid w:val="00AC6783"/>
    <w:rsid w:val="00AC6ABB"/>
    <w:rsid w:val="00AC6B6A"/>
    <w:rsid w:val="00AC7F53"/>
    <w:rsid w:val="00AD15EB"/>
    <w:rsid w:val="00AD1A4C"/>
    <w:rsid w:val="00AD4230"/>
    <w:rsid w:val="00AD454C"/>
    <w:rsid w:val="00AD45C6"/>
    <w:rsid w:val="00AD4AFA"/>
    <w:rsid w:val="00AD4F26"/>
    <w:rsid w:val="00AD4F53"/>
    <w:rsid w:val="00AD5763"/>
    <w:rsid w:val="00AD5938"/>
    <w:rsid w:val="00AD5DAD"/>
    <w:rsid w:val="00AD5DEC"/>
    <w:rsid w:val="00AD6845"/>
    <w:rsid w:val="00AD6F14"/>
    <w:rsid w:val="00AD79E1"/>
    <w:rsid w:val="00AD7EA4"/>
    <w:rsid w:val="00AE1483"/>
    <w:rsid w:val="00AE16C2"/>
    <w:rsid w:val="00AE24CD"/>
    <w:rsid w:val="00AE294F"/>
    <w:rsid w:val="00AE2AAD"/>
    <w:rsid w:val="00AE417F"/>
    <w:rsid w:val="00AE59E3"/>
    <w:rsid w:val="00AE61D3"/>
    <w:rsid w:val="00AE7F57"/>
    <w:rsid w:val="00AF0A87"/>
    <w:rsid w:val="00AF1A48"/>
    <w:rsid w:val="00AF24FA"/>
    <w:rsid w:val="00AF2BB7"/>
    <w:rsid w:val="00AF2C20"/>
    <w:rsid w:val="00AF453A"/>
    <w:rsid w:val="00AF4C19"/>
    <w:rsid w:val="00AF4FD2"/>
    <w:rsid w:val="00AF5802"/>
    <w:rsid w:val="00AF5F82"/>
    <w:rsid w:val="00AF69C9"/>
    <w:rsid w:val="00AF7F55"/>
    <w:rsid w:val="00AF7FEA"/>
    <w:rsid w:val="00B01198"/>
    <w:rsid w:val="00B023D2"/>
    <w:rsid w:val="00B02496"/>
    <w:rsid w:val="00B02C47"/>
    <w:rsid w:val="00B0371D"/>
    <w:rsid w:val="00B038C8"/>
    <w:rsid w:val="00B03D2C"/>
    <w:rsid w:val="00B04164"/>
    <w:rsid w:val="00B057A4"/>
    <w:rsid w:val="00B05B70"/>
    <w:rsid w:val="00B05F8F"/>
    <w:rsid w:val="00B06293"/>
    <w:rsid w:val="00B075DC"/>
    <w:rsid w:val="00B078BA"/>
    <w:rsid w:val="00B07992"/>
    <w:rsid w:val="00B079CC"/>
    <w:rsid w:val="00B07FBE"/>
    <w:rsid w:val="00B11E6A"/>
    <w:rsid w:val="00B11E8F"/>
    <w:rsid w:val="00B1246F"/>
    <w:rsid w:val="00B1282C"/>
    <w:rsid w:val="00B13254"/>
    <w:rsid w:val="00B13AA7"/>
    <w:rsid w:val="00B13AC1"/>
    <w:rsid w:val="00B140D6"/>
    <w:rsid w:val="00B14E9D"/>
    <w:rsid w:val="00B151F4"/>
    <w:rsid w:val="00B16B3E"/>
    <w:rsid w:val="00B1759E"/>
    <w:rsid w:val="00B17A75"/>
    <w:rsid w:val="00B17BD2"/>
    <w:rsid w:val="00B203E2"/>
    <w:rsid w:val="00B20FEC"/>
    <w:rsid w:val="00B21A4D"/>
    <w:rsid w:val="00B21F7A"/>
    <w:rsid w:val="00B23ECB"/>
    <w:rsid w:val="00B2492B"/>
    <w:rsid w:val="00B263ED"/>
    <w:rsid w:val="00B26553"/>
    <w:rsid w:val="00B26C3C"/>
    <w:rsid w:val="00B26FF6"/>
    <w:rsid w:val="00B27568"/>
    <w:rsid w:val="00B30E91"/>
    <w:rsid w:val="00B311FB"/>
    <w:rsid w:val="00B3214C"/>
    <w:rsid w:val="00B3261A"/>
    <w:rsid w:val="00B329E5"/>
    <w:rsid w:val="00B32B2F"/>
    <w:rsid w:val="00B32D6C"/>
    <w:rsid w:val="00B336B5"/>
    <w:rsid w:val="00B35559"/>
    <w:rsid w:val="00B36659"/>
    <w:rsid w:val="00B3692B"/>
    <w:rsid w:val="00B375C5"/>
    <w:rsid w:val="00B40184"/>
    <w:rsid w:val="00B40238"/>
    <w:rsid w:val="00B40377"/>
    <w:rsid w:val="00B4095B"/>
    <w:rsid w:val="00B40E28"/>
    <w:rsid w:val="00B411FB"/>
    <w:rsid w:val="00B421F5"/>
    <w:rsid w:val="00B4259E"/>
    <w:rsid w:val="00B43107"/>
    <w:rsid w:val="00B43904"/>
    <w:rsid w:val="00B43938"/>
    <w:rsid w:val="00B43D1D"/>
    <w:rsid w:val="00B43F43"/>
    <w:rsid w:val="00B445D7"/>
    <w:rsid w:val="00B44CD8"/>
    <w:rsid w:val="00B459E9"/>
    <w:rsid w:val="00B45B8C"/>
    <w:rsid w:val="00B45FD8"/>
    <w:rsid w:val="00B460AA"/>
    <w:rsid w:val="00B4683F"/>
    <w:rsid w:val="00B46A9B"/>
    <w:rsid w:val="00B46F99"/>
    <w:rsid w:val="00B479F8"/>
    <w:rsid w:val="00B50548"/>
    <w:rsid w:val="00B50BCA"/>
    <w:rsid w:val="00B50E17"/>
    <w:rsid w:val="00B50F10"/>
    <w:rsid w:val="00B51435"/>
    <w:rsid w:val="00B5169D"/>
    <w:rsid w:val="00B51D4E"/>
    <w:rsid w:val="00B51F1E"/>
    <w:rsid w:val="00B52D1F"/>
    <w:rsid w:val="00B536F5"/>
    <w:rsid w:val="00B53DD4"/>
    <w:rsid w:val="00B543C5"/>
    <w:rsid w:val="00B54984"/>
    <w:rsid w:val="00B54D13"/>
    <w:rsid w:val="00B55468"/>
    <w:rsid w:val="00B56082"/>
    <w:rsid w:val="00B56D7A"/>
    <w:rsid w:val="00B573B5"/>
    <w:rsid w:val="00B6101A"/>
    <w:rsid w:val="00B61405"/>
    <w:rsid w:val="00B61C6D"/>
    <w:rsid w:val="00B62215"/>
    <w:rsid w:val="00B626B3"/>
    <w:rsid w:val="00B629E9"/>
    <w:rsid w:val="00B62E94"/>
    <w:rsid w:val="00B63078"/>
    <w:rsid w:val="00B632CB"/>
    <w:rsid w:val="00B634EA"/>
    <w:rsid w:val="00B63517"/>
    <w:rsid w:val="00B6351A"/>
    <w:rsid w:val="00B63C7E"/>
    <w:rsid w:val="00B63D18"/>
    <w:rsid w:val="00B64A4D"/>
    <w:rsid w:val="00B64EA1"/>
    <w:rsid w:val="00B65074"/>
    <w:rsid w:val="00B657CB"/>
    <w:rsid w:val="00B663D2"/>
    <w:rsid w:val="00B67454"/>
    <w:rsid w:val="00B679A9"/>
    <w:rsid w:val="00B67FE4"/>
    <w:rsid w:val="00B7088F"/>
    <w:rsid w:val="00B71661"/>
    <w:rsid w:val="00B71C4F"/>
    <w:rsid w:val="00B7267B"/>
    <w:rsid w:val="00B72764"/>
    <w:rsid w:val="00B73185"/>
    <w:rsid w:val="00B740CD"/>
    <w:rsid w:val="00B7465D"/>
    <w:rsid w:val="00B74851"/>
    <w:rsid w:val="00B75C92"/>
    <w:rsid w:val="00B75E75"/>
    <w:rsid w:val="00B7618C"/>
    <w:rsid w:val="00B76796"/>
    <w:rsid w:val="00B76D54"/>
    <w:rsid w:val="00B80F80"/>
    <w:rsid w:val="00B81CDD"/>
    <w:rsid w:val="00B8223B"/>
    <w:rsid w:val="00B829CD"/>
    <w:rsid w:val="00B82F32"/>
    <w:rsid w:val="00B839DC"/>
    <w:rsid w:val="00B83B8F"/>
    <w:rsid w:val="00B844B5"/>
    <w:rsid w:val="00B85285"/>
    <w:rsid w:val="00B85D15"/>
    <w:rsid w:val="00B869F1"/>
    <w:rsid w:val="00B87A52"/>
    <w:rsid w:val="00B87D19"/>
    <w:rsid w:val="00B90078"/>
    <w:rsid w:val="00B900EB"/>
    <w:rsid w:val="00B90131"/>
    <w:rsid w:val="00B915AA"/>
    <w:rsid w:val="00B92349"/>
    <w:rsid w:val="00B92A89"/>
    <w:rsid w:val="00B92B5B"/>
    <w:rsid w:val="00B93078"/>
    <w:rsid w:val="00B93774"/>
    <w:rsid w:val="00B9439D"/>
    <w:rsid w:val="00B9454D"/>
    <w:rsid w:val="00B94ABB"/>
    <w:rsid w:val="00B9505D"/>
    <w:rsid w:val="00B953A3"/>
    <w:rsid w:val="00B95450"/>
    <w:rsid w:val="00B95C21"/>
    <w:rsid w:val="00B971DF"/>
    <w:rsid w:val="00B97660"/>
    <w:rsid w:val="00BA13B4"/>
    <w:rsid w:val="00BA3078"/>
    <w:rsid w:val="00BA3820"/>
    <w:rsid w:val="00BA3948"/>
    <w:rsid w:val="00BA3C67"/>
    <w:rsid w:val="00BA3D5B"/>
    <w:rsid w:val="00BA43A5"/>
    <w:rsid w:val="00BA478E"/>
    <w:rsid w:val="00BA4B2E"/>
    <w:rsid w:val="00BA4B96"/>
    <w:rsid w:val="00BA526A"/>
    <w:rsid w:val="00BA5CFF"/>
    <w:rsid w:val="00BA6098"/>
    <w:rsid w:val="00BA684A"/>
    <w:rsid w:val="00BA6B48"/>
    <w:rsid w:val="00BA6C83"/>
    <w:rsid w:val="00BB0477"/>
    <w:rsid w:val="00BB11A2"/>
    <w:rsid w:val="00BB164A"/>
    <w:rsid w:val="00BB1B99"/>
    <w:rsid w:val="00BB1DA8"/>
    <w:rsid w:val="00BB49A4"/>
    <w:rsid w:val="00BB4AF6"/>
    <w:rsid w:val="00BB4B2C"/>
    <w:rsid w:val="00BB4FBC"/>
    <w:rsid w:val="00BB69EA"/>
    <w:rsid w:val="00BB6C3A"/>
    <w:rsid w:val="00BB7E3D"/>
    <w:rsid w:val="00BC0005"/>
    <w:rsid w:val="00BC0312"/>
    <w:rsid w:val="00BC034B"/>
    <w:rsid w:val="00BC0391"/>
    <w:rsid w:val="00BC188E"/>
    <w:rsid w:val="00BC1A60"/>
    <w:rsid w:val="00BC1ADA"/>
    <w:rsid w:val="00BC2809"/>
    <w:rsid w:val="00BC2D64"/>
    <w:rsid w:val="00BC4471"/>
    <w:rsid w:val="00BC5133"/>
    <w:rsid w:val="00BC513F"/>
    <w:rsid w:val="00BC5835"/>
    <w:rsid w:val="00BC6862"/>
    <w:rsid w:val="00BC6FA7"/>
    <w:rsid w:val="00BC70AA"/>
    <w:rsid w:val="00BC719F"/>
    <w:rsid w:val="00BD1B5F"/>
    <w:rsid w:val="00BD231E"/>
    <w:rsid w:val="00BD256B"/>
    <w:rsid w:val="00BD25DE"/>
    <w:rsid w:val="00BD26A7"/>
    <w:rsid w:val="00BD273C"/>
    <w:rsid w:val="00BD2C2C"/>
    <w:rsid w:val="00BD2E72"/>
    <w:rsid w:val="00BD3983"/>
    <w:rsid w:val="00BD3E53"/>
    <w:rsid w:val="00BD3F40"/>
    <w:rsid w:val="00BD3FDA"/>
    <w:rsid w:val="00BD491C"/>
    <w:rsid w:val="00BD5424"/>
    <w:rsid w:val="00BD56D8"/>
    <w:rsid w:val="00BD598F"/>
    <w:rsid w:val="00BD60E1"/>
    <w:rsid w:val="00BD6965"/>
    <w:rsid w:val="00BD6D05"/>
    <w:rsid w:val="00BD74EA"/>
    <w:rsid w:val="00BD7AF6"/>
    <w:rsid w:val="00BD7FAB"/>
    <w:rsid w:val="00BE005F"/>
    <w:rsid w:val="00BE0241"/>
    <w:rsid w:val="00BE036B"/>
    <w:rsid w:val="00BE07F1"/>
    <w:rsid w:val="00BE0ED5"/>
    <w:rsid w:val="00BE13F4"/>
    <w:rsid w:val="00BE179B"/>
    <w:rsid w:val="00BE1C79"/>
    <w:rsid w:val="00BE38CE"/>
    <w:rsid w:val="00BE3BA7"/>
    <w:rsid w:val="00BE3DBE"/>
    <w:rsid w:val="00BE5992"/>
    <w:rsid w:val="00BE624A"/>
    <w:rsid w:val="00BE70BB"/>
    <w:rsid w:val="00BE727E"/>
    <w:rsid w:val="00BE7C03"/>
    <w:rsid w:val="00BF0BB0"/>
    <w:rsid w:val="00BF3447"/>
    <w:rsid w:val="00BF3669"/>
    <w:rsid w:val="00BF3BBA"/>
    <w:rsid w:val="00BF43E4"/>
    <w:rsid w:val="00BF56E3"/>
    <w:rsid w:val="00BF669F"/>
    <w:rsid w:val="00BF6B03"/>
    <w:rsid w:val="00BF720E"/>
    <w:rsid w:val="00BF7349"/>
    <w:rsid w:val="00BF7563"/>
    <w:rsid w:val="00BF765F"/>
    <w:rsid w:val="00BF7897"/>
    <w:rsid w:val="00C00854"/>
    <w:rsid w:val="00C01763"/>
    <w:rsid w:val="00C01786"/>
    <w:rsid w:val="00C01929"/>
    <w:rsid w:val="00C01E11"/>
    <w:rsid w:val="00C02F53"/>
    <w:rsid w:val="00C0360F"/>
    <w:rsid w:val="00C04765"/>
    <w:rsid w:val="00C0478C"/>
    <w:rsid w:val="00C052C6"/>
    <w:rsid w:val="00C052D6"/>
    <w:rsid w:val="00C066AD"/>
    <w:rsid w:val="00C07690"/>
    <w:rsid w:val="00C10514"/>
    <w:rsid w:val="00C10A45"/>
    <w:rsid w:val="00C113C1"/>
    <w:rsid w:val="00C11942"/>
    <w:rsid w:val="00C12D46"/>
    <w:rsid w:val="00C131C3"/>
    <w:rsid w:val="00C14534"/>
    <w:rsid w:val="00C14566"/>
    <w:rsid w:val="00C1527C"/>
    <w:rsid w:val="00C15965"/>
    <w:rsid w:val="00C15B03"/>
    <w:rsid w:val="00C16046"/>
    <w:rsid w:val="00C16357"/>
    <w:rsid w:val="00C1673A"/>
    <w:rsid w:val="00C16B71"/>
    <w:rsid w:val="00C16B90"/>
    <w:rsid w:val="00C16DE3"/>
    <w:rsid w:val="00C17448"/>
    <w:rsid w:val="00C17CF6"/>
    <w:rsid w:val="00C17F2B"/>
    <w:rsid w:val="00C2001E"/>
    <w:rsid w:val="00C20189"/>
    <w:rsid w:val="00C2034A"/>
    <w:rsid w:val="00C209D0"/>
    <w:rsid w:val="00C21C42"/>
    <w:rsid w:val="00C21D32"/>
    <w:rsid w:val="00C22632"/>
    <w:rsid w:val="00C22A1B"/>
    <w:rsid w:val="00C22ABF"/>
    <w:rsid w:val="00C22F08"/>
    <w:rsid w:val="00C23702"/>
    <w:rsid w:val="00C23920"/>
    <w:rsid w:val="00C23F61"/>
    <w:rsid w:val="00C24310"/>
    <w:rsid w:val="00C244BC"/>
    <w:rsid w:val="00C2466D"/>
    <w:rsid w:val="00C24FB0"/>
    <w:rsid w:val="00C25E93"/>
    <w:rsid w:val="00C25FD0"/>
    <w:rsid w:val="00C26773"/>
    <w:rsid w:val="00C2687E"/>
    <w:rsid w:val="00C274D1"/>
    <w:rsid w:val="00C27CB3"/>
    <w:rsid w:val="00C27DAD"/>
    <w:rsid w:val="00C3046F"/>
    <w:rsid w:val="00C30CA0"/>
    <w:rsid w:val="00C3112E"/>
    <w:rsid w:val="00C31EE7"/>
    <w:rsid w:val="00C321D5"/>
    <w:rsid w:val="00C3224A"/>
    <w:rsid w:val="00C3276C"/>
    <w:rsid w:val="00C3288F"/>
    <w:rsid w:val="00C328F4"/>
    <w:rsid w:val="00C32FA8"/>
    <w:rsid w:val="00C333D3"/>
    <w:rsid w:val="00C33D34"/>
    <w:rsid w:val="00C34162"/>
    <w:rsid w:val="00C34713"/>
    <w:rsid w:val="00C357E8"/>
    <w:rsid w:val="00C359AB"/>
    <w:rsid w:val="00C3678C"/>
    <w:rsid w:val="00C367D9"/>
    <w:rsid w:val="00C36A4E"/>
    <w:rsid w:val="00C41896"/>
    <w:rsid w:val="00C43EAD"/>
    <w:rsid w:val="00C44BF7"/>
    <w:rsid w:val="00C458CA"/>
    <w:rsid w:val="00C45A34"/>
    <w:rsid w:val="00C460D8"/>
    <w:rsid w:val="00C4661A"/>
    <w:rsid w:val="00C4677B"/>
    <w:rsid w:val="00C46A10"/>
    <w:rsid w:val="00C475FF"/>
    <w:rsid w:val="00C50512"/>
    <w:rsid w:val="00C50588"/>
    <w:rsid w:val="00C508F9"/>
    <w:rsid w:val="00C50A9D"/>
    <w:rsid w:val="00C50F8F"/>
    <w:rsid w:val="00C5118E"/>
    <w:rsid w:val="00C529AA"/>
    <w:rsid w:val="00C52AA7"/>
    <w:rsid w:val="00C53431"/>
    <w:rsid w:val="00C539A9"/>
    <w:rsid w:val="00C545F5"/>
    <w:rsid w:val="00C551A4"/>
    <w:rsid w:val="00C55742"/>
    <w:rsid w:val="00C5580F"/>
    <w:rsid w:val="00C55A4A"/>
    <w:rsid w:val="00C55BF4"/>
    <w:rsid w:val="00C5679A"/>
    <w:rsid w:val="00C569C0"/>
    <w:rsid w:val="00C57C01"/>
    <w:rsid w:val="00C6012D"/>
    <w:rsid w:val="00C60D76"/>
    <w:rsid w:val="00C6110C"/>
    <w:rsid w:val="00C6128B"/>
    <w:rsid w:val="00C61420"/>
    <w:rsid w:val="00C6276D"/>
    <w:rsid w:val="00C62A14"/>
    <w:rsid w:val="00C62DD8"/>
    <w:rsid w:val="00C62EAA"/>
    <w:rsid w:val="00C6465D"/>
    <w:rsid w:val="00C64667"/>
    <w:rsid w:val="00C65673"/>
    <w:rsid w:val="00C658CF"/>
    <w:rsid w:val="00C65BDA"/>
    <w:rsid w:val="00C664DA"/>
    <w:rsid w:val="00C6748F"/>
    <w:rsid w:val="00C678D8"/>
    <w:rsid w:val="00C6794F"/>
    <w:rsid w:val="00C679D2"/>
    <w:rsid w:val="00C700E5"/>
    <w:rsid w:val="00C70D8D"/>
    <w:rsid w:val="00C72025"/>
    <w:rsid w:val="00C7322B"/>
    <w:rsid w:val="00C7371B"/>
    <w:rsid w:val="00C739F9"/>
    <w:rsid w:val="00C74B95"/>
    <w:rsid w:val="00C7560B"/>
    <w:rsid w:val="00C75783"/>
    <w:rsid w:val="00C7599B"/>
    <w:rsid w:val="00C75BE3"/>
    <w:rsid w:val="00C75C21"/>
    <w:rsid w:val="00C767B2"/>
    <w:rsid w:val="00C76ABC"/>
    <w:rsid w:val="00C76E04"/>
    <w:rsid w:val="00C76EF0"/>
    <w:rsid w:val="00C7703F"/>
    <w:rsid w:val="00C77CC2"/>
    <w:rsid w:val="00C8071C"/>
    <w:rsid w:val="00C80FCA"/>
    <w:rsid w:val="00C81278"/>
    <w:rsid w:val="00C8171D"/>
    <w:rsid w:val="00C82037"/>
    <w:rsid w:val="00C8277F"/>
    <w:rsid w:val="00C844D2"/>
    <w:rsid w:val="00C848B9"/>
    <w:rsid w:val="00C848EB"/>
    <w:rsid w:val="00C84C22"/>
    <w:rsid w:val="00C86F7B"/>
    <w:rsid w:val="00C870DC"/>
    <w:rsid w:val="00C90721"/>
    <w:rsid w:val="00C909E0"/>
    <w:rsid w:val="00C90C1B"/>
    <w:rsid w:val="00C91E3B"/>
    <w:rsid w:val="00C936B0"/>
    <w:rsid w:val="00C9419B"/>
    <w:rsid w:val="00C94901"/>
    <w:rsid w:val="00C95132"/>
    <w:rsid w:val="00C952D8"/>
    <w:rsid w:val="00C9560A"/>
    <w:rsid w:val="00C95678"/>
    <w:rsid w:val="00C969CF"/>
    <w:rsid w:val="00C97386"/>
    <w:rsid w:val="00C97681"/>
    <w:rsid w:val="00C97C93"/>
    <w:rsid w:val="00C97D2C"/>
    <w:rsid w:val="00C97E03"/>
    <w:rsid w:val="00CA0806"/>
    <w:rsid w:val="00CA0E6D"/>
    <w:rsid w:val="00CA168F"/>
    <w:rsid w:val="00CA1A64"/>
    <w:rsid w:val="00CA1B58"/>
    <w:rsid w:val="00CA2587"/>
    <w:rsid w:val="00CA318B"/>
    <w:rsid w:val="00CA36AE"/>
    <w:rsid w:val="00CA3C3D"/>
    <w:rsid w:val="00CA4181"/>
    <w:rsid w:val="00CA5AB7"/>
    <w:rsid w:val="00CA7AA4"/>
    <w:rsid w:val="00CB08E7"/>
    <w:rsid w:val="00CB12F4"/>
    <w:rsid w:val="00CB17D4"/>
    <w:rsid w:val="00CB2269"/>
    <w:rsid w:val="00CB2B40"/>
    <w:rsid w:val="00CB401E"/>
    <w:rsid w:val="00CB426D"/>
    <w:rsid w:val="00CB47A9"/>
    <w:rsid w:val="00CB59F3"/>
    <w:rsid w:val="00CB5BD0"/>
    <w:rsid w:val="00CB659A"/>
    <w:rsid w:val="00CB76A4"/>
    <w:rsid w:val="00CB790B"/>
    <w:rsid w:val="00CC07E3"/>
    <w:rsid w:val="00CC0AFE"/>
    <w:rsid w:val="00CC160E"/>
    <w:rsid w:val="00CC17E6"/>
    <w:rsid w:val="00CC1F6B"/>
    <w:rsid w:val="00CC1FF4"/>
    <w:rsid w:val="00CC2260"/>
    <w:rsid w:val="00CC27F8"/>
    <w:rsid w:val="00CC3002"/>
    <w:rsid w:val="00CC4B63"/>
    <w:rsid w:val="00CC5B9F"/>
    <w:rsid w:val="00CC62B8"/>
    <w:rsid w:val="00CC7380"/>
    <w:rsid w:val="00CC762F"/>
    <w:rsid w:val="00CC7822"/>
    <w:rsid w:val="00CC7952"/>
    <w:rsid w:val="00CC7990"/>
    <w:rsid w:val="00CC7B9E"/>
    <w:rsid w:val="00CC7D89"/>
    <w:rsid w:val="00CD04E5"/>
    <w:rsid w:val="00CD06E3"/>
    <w:rsid w:val="00CD119D"/>
    <w:rsid w:val="00CD21CA"/>
    <w:rsid w:val="00CD23CB"/>
    <w:rsid w:val="00CD29C4"/>
    <w:rsid w:val="00CD2CAB"/>
    <w:rsid w:val="00CD3CB9"/>
    <w:rsid w:val="00CD3DD7"/>
    <w:rsid w:val="00CD461B"/>
    <w:rsid w:val="00CD490F"/>
    <w:rsid w:val="00CD58D7"/>
    <w:rsid w:val="00CD5AEF"/>
    <w:rsid w:val="00CD6CE3"/>
    <w:rsid w:val="00CD77E0"/>
    <w:rsid w:val="00CD7C92"/>
    <w:rsid w:val="00CE040E"/>
    <w:rsid w:val="00CE0421"/>
    <w:rsid w:val="00CE077F"/>
    <w:rsid w:val="00CE0854"/>
    <w:rsid w:val="00CE1370"/>
    <w:rsid w:val="00CE2461"/>
    <w:rsid w:val="00CE5171"/>
    <w:rsid w:val="00CE5CC5"/>
    <w:rsid w:val="00CE74AE"/>
    <w:rsid w:val="00CF048E"/>
    <w:rsid w:val="00CF0620"/>
    <w:rsid w:val="00CF072A"/>
    <w:rsid w:val="00CF0AAC"/>
    <w:rsid w:val="00CF0E59"/>
    <w:rsid w:val="00CF217F"/>
    <w:rsid w:val="00CF21B5"/>
    <w:rsid w:val="00CF33F2"/>
    <w:rsid w:val="00CF39DE"/>
    <w:rsid w:val="00CF4147"/>
    <w:rsid w:val="00CF42CC"/>
    <w:rsid w:val="00CF56F9"/>
    <w:rsid w:val="00CF58F1"/>
    <w:rsid w:val="00CF61C4"/>
    <w:rsid w:val="00D0129A"/>
    <w:rsid w:val="00D01D55"/>
    <w:rsid w:val="00D02E94"/>
    <w:rsid w:val="00D037BE"/>
    <w:rsid w:val="00D04125"/>
    <w:rsid w:val="00D045D9"/>
    <w:rsid w:val="00D04633"/>
    <w:rsid w:val="00D07328"/>
    <w:rsid w:val="00D07352"/>
    <w:rsid w:val="00D079F3"/>
    <w:rsid w:val="00D07FEC"/>
    <w:rsid w:val="00D102B2"/>
    <w:rsid w:val="00D108A7"/>
    <w:rsid w:val="00D10D4B"/>
    <w:rsid w:val="00D11466"/>
    <w:rsid w:val="00D1166E"/>
    <w:rsid w:val="00D130E2"/>
    <w:rsid w:val="00D14836"/>
    <w:rsid w:val="00D1492B"/>
    <w:rsid w:val="00D14AB4"/>
    <w:rsid w:val="00D14F52"/>
    <w:rsid w:val="00D150E5"/>
    <w:rsid w:val="00D1541C"/>
    <w:rsid w:val="00D15D39"/>
    <w:rsid w:val="00D1682F"/>
    <w:rsid w:val="00D16E49"/>
    <w:rsid w:val="00D17281"/>
    <w:rsid w:val="00D17BD6"/>
    <w:rsid w:val="00D2015B"/>
    <w:rsid w:val="00D202EF"/>
    <w:rsid w:val="00D20A8B"/>
    <w:rsid w:val="00D20B00"/>
    <w:rsid w:val="00D211C2"/>
    <w:rsid w:val="00D2182C"/>
    <w:rsid w:val="00D21A13"/>
    <w:rsid w:val="00D21E23"/>
    <w:rsid w:val="00D22A79"/>
    <w:rsid w:val="00D233F7"/>
    <w:rsid w:val="00D240CA"/>
    <w:rsid w:val="00D24321"/>
    <w:rsid w:val="00D25B59"/>
    <w:rsid w:val="00D26521"/>
    <w:rsid w:val="00D26885"/>
    <w:rsid w:val="00D26B25"/>
    <w:rsid w:val="00D27975"/>
    <w:rsid w:val="00D27FE5"/>
    <w:rsid w:val="00D30ABB"/>
    <w:rsid w:val="00D31151"/>
    <w:rsid w:val="00D31590"/>
    <w:rsid w:val="00D323C2"/>
    <w:rsid w:val="00D32A6F"/>
    <w:rsid w:val="00D334E7"/>
    <w:rsid w:val="00D33E79"/>
    <w:rsid w:val="00D34F37"/>
    <w:rsid w:val="00D35E22"/>
    <w:rsid w:val="00D362D8"/>
    <w:rsid w:val="00D36DBF"/>
    <w:rsid w:val="00D370B1"/>
    <w:rsid w:val="00D3783F"/>
    <w:rsid w:val="00D37CC5"/>
    <w:rsid w:val="00D40178"/>
    <w:rsid w:val="00D404C4"/>
    <w:rsid w:val="00D40637"/>
    <w:rsid w:val="00D407B6"/>
    <w:rsid w:val="00D40867"/>
    <w:rsid w:val="00D408AC"/>
    <w:rsid w:val="00D40A0F"/>
    <w:rsid w:val="00D41499"/>
    <w:rsid w:val="00D41834"/>
    <w:rsid w:val="00D41DC4"/>
    <w:rsid w:val="00D42A71"/>
    <w:rsid w:val="00D44380"/>
    <w:rsid w:val="00D44D68"/>
    <w:rsid w:val="00D45148"/>
    <w:rsid w:val="00D4548E"/>
    <w:rsid w:val="00D45495"/>
    <w:rsid w:val="00D45D03"/>
    <w:rsid w:val="00D45F1B"/>
    <w:rsid w:val="00D46431"/>
    <w:rsid w:val="00D47349"/>
    <w:rsid w:val="00D47612"/>
    <w:rsid w:val="00D47B32"/>
    <w:rsid w:val="00D51198"/>
    <w:rsid w:val="00D517C8"/>
    <w:rsid w:val="00D51AD4"/>
    <w:rsid w:val="00D51F24"/>
    <w:rsid w:val="00D521F8"/>
    <w:rsid w:val="00D52D58"/>
    <w:rsid w:val="00D53096"/>
    <w:rsid w:val="00D53870"/>
    <w:rsid w:val="00D5508B"/>
    <w:rsid w:val="00D5545E"/>
    <w:rsid w:val="00D55B81"/>
    <w:rsid w:val="00D55D57"/>
    <w:rsid w:val="00D55E59"/>
    <w:rsid w:val="00D55EE6"/>
    <w:rsid w:val="00D561F4"/>
    <w:rsid w:val="00D5640A"/>
    <w:rsid w:val="00D56983"/>
    <w:rsid w:val="00D56E40"/>
    <w:rsid w:val="00D57461"/>
    <w:rsid w:val="00D57477"/>
    <w:rsid w:val="00D57634"/>
    <w:rsid w:val="00D57EF3"/>
    <w:rsid w:val="00D604EA"/>
    <w:rsid w:val="00D61109"/>
    <w:rsid w:val="00D62482"/>
    <w:rsid w:val="00D6288F"/>
    <w:rsid w:val="00D62A20"/>
    <w:rsid w:val="00D631BA"/>
    <w:rsid w:val="00D634F9"/>
    <w:rsid w:val="00D63972"/>
    <w:rsid w:val="00D63A41"/>
    <w:rsid w:val="00D63E4F"/>
    <w:rsid w:val="00D64315"/>
    <w:rsid w:val="00D6453F"/>
    <w:rsid w:val="00D64F43"/>
    <w:rsid w:val="00D65319"/>
    <w:rsid w:val="00D65B81"/>
    <w:rsid w:val="00D660CA"/>
    <w:rsid w:val="00D667EA"/>
    <w:rsid w:val="00D66892"/>
    <w:rsid w:val="00D66DBA"/>
    <w:rsid w:val="00D66E85"/>
    <w:rsid w:val="00D6747C"/>
    <w:rsid w:val="00D67816"/>
    <w:rsid w:val="00D67D96"/>
    <w:rsid w:val="00D70600"/>
    <w:rsid w:val="00D70D81"/>
    <w:rsid w:val="00D711EF"/>
    <w:rsid w:val="00D71371"/>
    <w:rsid w:val="00D71561"/>
    <w:rsid w:val="00D719E7"/>
    <w:rsid w:val="00D72073"/>
    <w:rsid w:val="00D72BAE"/>
    <w:rsid w:val="00D72F5D"/>
    <w:rsid w:val="00D750CC"/>
    <w:rsid w:val="00D7600F"/>
    <w:rsid w:val="00D763AE"/>
    <w:rsid w:val="00D764ED"/>
    <w:rsid w:val="00D76EE6"/>
    <w:rsid w:val="00D77169"/>
    <w:rsid w:val="00D80B40"/>
    <w:rsid w:val="00D82078"/>
    <w:rsid w:val="00D82093"/>
    <w:rsid w:val="00D823ED"/>
    <w:rsid w:val="00D82ACE"/>
    <w:rsid w:val="00D82BB1"/>
    <w:rsid w:val="00D843E2"/>
    <w:rsid w:val="00D8469E"/>
    <w:rsid w:val="00D8474B"/>
    <w:rsid w:val="00D84BEA"/>
    <w:rsid w:val="00D85E78"/>
    <w:rsid w:val="00D85E7F"/>
    <w:rsid w:val="00D85FE5"/>
    <w:rsid w:val="00D860A4"/>
    <w:rsid w:val="00D864C4"/>
    <w:rsid w:val="00D86B6C"/>
    <w:rsid w:val="00D87F1E"/>
    <w:rsid w:val="00D901F3"/>
    <w:rsid w:val="00D9036E"/>
    <w:rsid w:val="00D90406"/>
    <w:rsid w:val="00D90B47"/>
    <w:rsid w:val="00D90E0E"/>
    <w:rsid w:val="00D91778"/>
    <w:rsid w:val="00D918B3"/>
    <w:rsid w:val="00D91B9C"/>
    <w:rsid w:val="00D91EB1"/>
    <w:rsid w:val="00D9435C"/>
    <w:rsid w:val="00D95081"/>
    <w:rsid w:val="00D963A5"/>
    <w:rsid w:val="00D9700C"/>
    <w:rsid w:val="00D97424"/>
    <w:rsid w:val="00D976CA"/>
    <w:rsid w:val="00D97F64"/>
    <w:rsid w:val="00DA02F8"/>
    <w:rsid w:val="00DA0940"/>
    <w:rsid w:val="00DA0F68"/>
    <w:rsid w:val="00DA119C"/>
    <w:rsid w:val="00DA1453"/>
    <w:rsid w:val="00DA21EE"/>
    <w:rsid w:val="00DA2F5A"/>
    <w:rsid w:val="00DA411E"/>
    <w:rsid w:val="00DA44E4"/>
    <w:rsid w:val="00DA48F2"/>
    <w:rsid w:val="00DA4A2D"/>
    <w:rsid w:val="00DA4B52"/>
    <w:rsid w:val="00DA4E5A"/>
    <w:rsid w:val="00DA508E"/>
    <w:rsid w:val="00DA558A"/>
    <w:rsid w:val="00DA5A3E"/>
    <w:rsid w:val="00DA6A72"/>
    <w:rsid w:val="00DA6C16"/>
    <w:rsid w:val="00DB0581"/>
    <w:rsid w:val="00DB2196"/>
    <w:rsid w:val="00DB2F7E"/>
    <w:rsid w:val="00DB3398"/>
    <w:rsid w:val="00DB376A"/>
    <w:rsid w:val="00DB38CD"/>
    <w:rsid w:val="00DB3B70"/>
    <w:rsid w:val="00DB3F51"/>
    <w:rsid w:val="00DB3FF7"/>
    <w:rsid w:val="00DB4602"/>
    <w:rsid w:val="00DB51F5"/>
    <w:rsid w:val="00DB6D4B"/>
    <w:rsid w:val="00DB7842"/>
    <w:rsid w:val="00DB7852"/>
    <w:rsid w:val="00DC0978"/>
    <w:rsid w:val="00DC2050"/>
    <w:rsid w:val="00DC23D7"/>
    <w:rsid w:val="00DC252A"/>
    <w:rsid w:val="00DC2936"/>
    <w:rsid w:val="00DC2F6C"/>
    <w:rsid w:val="00DC3DCD"/>
    <w:rsid w:val="00DC49E4"/>
    <w:rsid w:val="00DC5124"/>
    <w:rsid w:val="00DC7272"/>
    <w:rsid w:val="00DC7CCF"/>
    <w:rsid w:val="00DC7D8D"/>
    <w:rsid w:val="00DD0490"/>
    <w:rsid w:val="00DD11BF"/>
    <w:rsid w:val="00DD164D"/>
    <w:rsid w:val="00DD19D3"/>
    <w:rsid w:val="00DD1B51"/>
    <w:rsid w:val="00DD2D3F"/>
    <w:rsid w:val="00DD39B3"/>
    <w:rsid w:val="00DD3C36"/>
    <w:rsid w:val="00DD497D"/>
    <w:rsid w:val="00DD4C06"/>
    <w:rsid w:val="00DD4D4B"/>
    <w:rsid w:val="00DD5C70"/>
    <w:rsid w:val="00DD5D0A"/>
    <w:rsid w:val="00DD6306"/>
    <w:rsid w:val="00DD6471"/>
    <w:rsid w:val="00DD648C"/>
    <w:rsid w:val="00DD64D9"/>
    <w:rsid w:val="00DD65D0"/>
    <w:rsid w:val="00DD735E"/>
    <w:rsid w:val="00DD75C7"/>
    <w:rsid w:val="00DD7D47"/>
    <w:rsid w:val="00DE0724"/>
    <w:rsid w:val="00DE103E"/>
    <w:rsid w:val="00DE12F2"/>
    <w:rsid w:val="00DE130B"/>
    <w:rsid w:val="00DE20DD"/>
    <w:rsid w:val="00DE24F8"/>
    <w:rsid w:val="00DE2F45"/>
    <w:rsid w:val="00DE46BD"/>
    <w:rsid w:val="00DE4DA3"/>
    <w:rsid w:val="00DE5574"/>
    <w:rsid w:val="00DE5B7D"/>
    <w:rsid w:val="00DE5D18"/>
    <w:rsid w:val="00DE5E53"/>
    <w:rsid w:val="00DE5F54"/>
    <w:rsid w:val="00DE6858"/>
    <w:rsid w:val="00DE6AEF"/>
    <w:rsid w:val="00DE703D"/>
    <w:rsid w:val="00DE7360"/>
    <w:rsid w:val="00DF0177"/>
    <w:rsid w:val="00DF075F"/>
    <w:rsid w:val="00DF0A98"/>
    <w:rsid w:val="00DF0B79"/>
    <w:rsid w:val="00DF0ED0"/>
    <w:rsid w:val="00DF134F"/>
    <w:rsid w:val="00DF16C9"/>
    <w:rsid w:val="00DF1976"/>
    <w:rsid w:val="00DF1C0F"/>
    <w:rsid w:val="00DF2054"/>
    <w:rsid w:val="00DF251A"/>
    <w:rsid w:val="00DF26CA"/>
    <w:rsid w:val="00DF356A"/>
    <w:rsid w:val="00DF3E51"/>
    <w:rsid w:val="00DF44AC"/>
    <w:rsid w:val="00DF4F71"/>
    <w:rsid w:val="00DF5927"/>
    <w:rsid w:val="00DF6565"/>
    <w:rsid w:val="00DF73CB"/>
    <w:rsid w:val="00DF7899"/>
    <w:rsid w:val="00DF7F3F"/>
    <w:rsid w:val="00E00C20"/>
    <w:rsid w:val="00E020A3"/>
    <w:rsid w:val="00E0266B"/>
    <w:rsid w:val="00E02E89"/>
    <w:rsid w:val="00E0337D"/>
    <w:rsid w:val="00E03835"/>
    <w:rsid w:val="00E041E3"/>
    <w:rsid w:val="00E047AA"/>
    <w:rsid w:val="00E05841"/>
    <w:rsid w:val="00E063BB"/>
    <w:rsid w:val="00E073FB"/>
    <w:rsid w:val="00E07705"/>
    <w:rsid w:val="00E07925"/>
    <w:rsid w:val="00E10279"/>
    <w:rsid w:val="00E104C5"/>
    <w:rsid w:val="00E11285"/>
    <w:rsid w:val="00E1287C"/>
    <w:rsid w:val="00E1328B"/>
    <w:rsid w:val="00E13A45"/>
    <w:rsid w:val="00E13F94"/>
    <w:rsid w:val="00E14011"/>
    <w:rsid w:val="00E14205"/>
    <w:rsid w:val="00E1461C"/>
    <w:rsid w:val="00E149CE"/>
    <w:rsid w:val="00E15579"/>
    <w:rsid w:val="00E16DEA"/>
    <w:rsid w:val="00E17234"/>
    <w:rsid w:val="00E17A68"/>
    <w:rsid w:val="00E21337"/>
    <w:rsid w:val="00E21836"/>
    <w:rsid w:val="00E21D24"/>
    <w:rsid w:val="00E21F96"/>
    <w:rsid w:val="00E2220A"/>
    <w:rsid w:val="00E22634"/>
    <w:rsid w:val="00E22C43"/>
    <w:rsid w:val="00E233A0"/>
    <w:rsid w:val="00E23E1A"/>
    <w:rsid w:val="00E23EC0"/>
    <w:rsid w:val="00E24614"/>
    <w:rsid w:val="00E249A9"/>
    <w:rsid w:val="00E252F4"/>
    <w:rsid w:val="00E2583D"/>
    <w:rsid w:val="00E25EB7"/>
    <w:rsid w:val="00E26D9A"/>
    <w:rsid w:val="00E2786C"/>
    <w:rsid w:val="00E306A8"/>
    <w:rsid w:val="00E307C6"/>
    <w:rsid w:val="00E31935"/>
    <w:rsid w:val="00E319BB"/>
    <w:rsid w:val="00E3213B"/>
    <w:rsid w:val="00E324AE"/>
    <w:rsid w:val="00E324F5"/>
    <w:rsid w:val="00E3360D"/>
    <w:rsid w:val="00E35701"/>
    <w:rsid w:val="00E35ABB"/>
    <w:rsid w:val="00E35E7F"/>
    <w:rsid w:val="00E361C1"/>
    <w:rsid w:val="00E36E60"/>
    <w:rsid w:val="00E36EFD"/>
    <w:rsid w:val="00E37AD8"/>
    <w:rsid w:val="00E37F80"/>
    <w:rsid w:val="00E402E6"/>
    <w:rsid w:val="00E4045C"/>
    <w:rsid w:val="00E40962"/>
    <w:rsid w:val="00E409FF"/>
    <w:rsid w:val="00E41009"/>
    <w:rsid w:val="00E41221"/>
    <w:rsid w:val="00E413A8"/>
    <w:rsid w:val="00E416E5"/>
    <w:rsid w:val="00E416F7"/>
    <w:rsid w:val="00E41A99"/>
    <w:rsid w:val="00E420C2"/>
    <w:rsid w:val="00E422DB"/>
    <w:rsid w:val="00E424BE"/>
    <w:rsid w:val="00E42650"/>
    <w:rsid w:val="00E430A5"/>
    <w:rsid w:val="00E43D98"/>
    <w:rsid w:val="00E43EE9"/>
    <w:rsid w:val="00E444C8"/>
    <w:rsid w:val="00E44A93"/>
    <w:rsid w:val="00E44FE5"/>
    <w:rsid w:val="00E457AF"/>
    <w:rsid w:val="00E459E7"/>
    <w:rsid w:val="00E45A4F"/>
    <w:rsid w:val="00E45F4B"/>
    <w:rsid w:val="00E46B1E"/>
    <w:rsid w:val="00E47615"/>
    <w:rsid w:val="00E478DD"/>
    <w:rsid w:val="00E50AEC"/>
    <w:rsid w:val="00E51D2A"/>
    <w:rsid w:val="00E52CBF"/>
    <w:rsid w:val="00E5312F"/>
    <w:rsid w:val="00E53E40"/>
    <w:rsid w:val="00E54753"/>
    <w:rsid w:val="00E54F27"/>
    <w:rsid w:val="00E5601A"/>
    <w:rsid w:val="00E566CE"/>
    <w:rsid w:val="00E56D34"/>
    <w:rsid w:val="00E57026"/>
    <w:rsid w:val="00E57844"/>
    <w:rsid w:val="00E57990"/>
    <w:rsid w:val="00E579C8"/>
    <w:rsid w:val="00E60F82"/>
    <w:rsid w:val="00E61D0D"/>
    <w:rsid w:val="00E61D93"/>
    <w:rsid w:val="00E61EF2"/>
    <w:rsid w:val="00E62872"/>
    <w:rsid w:val="00E630CA"/>
    <w:rsid w:val="00E631E3"/>
    <w:rsid w:val="00E6364E"/>
    <w:rsid w:val="00E63949"/>
    <w:rsid w:val="00E64C2D"/>
    <w:rsid w:val="00E65093"/>
    <w:rsid w:val="00E656D8"/>
    <w:rsid w:val="00E66871"/>
    <w:rsid w:val="00E678C2"/>
    <w:rsid w:val="00E67B5D"/>
    <w:rsid w:val="00E67FE4"/>
    <w:rsid w:val="00E707E0"/>
    <w:rsid w:val="00E70F5F"/>
    <w:rsid w:val="00E7129B"/>
    <w:rsid w:val="00E72560"/>
    <w:rsid w:val="00E72CE2"/>
    <w:rsid w:val="00E72F53"/>
    <w:rsid w:val="00E730CF"/>
    <w:rsid w:val="00E73203"/>
    <w:rsid w:val="00E74DE7"/>
    <w:rsid w:val="00E758AA"/>
    <w:rsid w:val="00E759A9"/>
    <w:rsid w:val="00E76970"/>
    <w:rsid w:val="00E76B65"/>
    <w:rsid w:val="00E76BF7"/>
    <w:rsid w:val="00E77E5F"/>
    <w:rsid w:val="00E80F08"/>
    <w:rsid w:val="00E814F1"/>
    <w:rsid w:val="00E8178F"/>
    <w:rsid w:val="00E81967"/>
    <w:rsid w:val="00E83C9B"/>
    <w:rsid w:val="00E83D79"/>
    <w:rsid w:val="00E841AB"/>
    <w:rsid w:val="00E8491E"/>
    <w:rsid w:val="00E85332"/>
    <w:rsid w:val="00E8562C"/>
    <w:rsid w:val="00E859FD"/>
    <w:rsid w:val="00E85F07"/>
    <w:rsid w:val="00E86D4A"/>
    <w:rsid w:val="00E8758D"/>
    <w:rsid w:val="00E90F3D"/>
    <w:rsid w:val="00E910EA"/>
    <w:rsid w:val="00E9110B"/>
    <w:rsid w:val="00E91A3B"/>
    <w:rsid w:val="00E9386C"/>
    <w:rsid w:val="00E9473B"/>
    <w:rsid w:val="00E947EE"/>
    <w:rsid w:val="00E9537C"/>
    <w:rsid w:val="00E95FE9"/>
    <w:rsid w:val="00E96402"/>
    <w:rsid w:val="00E96D7C"/>
    <w:rsid w:val="00E97B35"/>
    <w:rsid w:val="00E97BCA"/>
    <w:rsid w:val="00EA0859"/>
    <w:rsid w:val="00EA0C1D"/>
    <w:rsid w:val="00EA0C31"/>
    <w:rsid w:val="00EA0E99"/>
    <w:rsid w:val="00EA1234"/>
    <w:rsid w:val="00EA152C"/>
    <w:rsid w:val="00EA15E7"/>
    <w:rsid w:val="00EA2329"/>
    <w:rsid w:val="00EA2907"/>
    <w:rsid w:val="00EA2CB4"/>
    <w:rsid w:val="00EA2CFB"/>
    <w:rsid w:val="00EA2DF8"/>
    <w:rsid w:val="00EA2E5C"/>
    <w:rsid w:val="00EA40D7"/>
    <w:rsid w:val="00EA41DD"/>
    <w:rsid w:val="00EA607A"/>
    <w:rsid w:val="00EA670B"/>
    <w:rsid w:val="00EA6D68"/>
    <w:rsid w:val="00EB0922"/>
    <w:rsid w:val="00EB0966"/>
    <w:rsid w:val="00EB139C"/>
    <w:rsid w:val="00EB282B"/>
    <w:rsid w:val="00EB345D"/>
    <w:rsid w:val="00EB40F3"/>
    <w:rsid w:val="00EB4781"/>
    <w:rsid w:val="00EB536D"/>
    <w:rsid w:val="00EB54E7"/>
    <w:rsid w:val="00EB57B6"/>
    <w:rsid w:val="00EB5FF8"/>
    <w:rsid w:val="00EB6A84"/>
    <w:rsid w:val="00EB7BC2"/>
    <w:rsid w:val="00EC0EB9"/>
    <w:rsid w:val="00EC1160"/>
    <w:rsid w:val="00EC28FB"/>
    <w:rsid w:val="00EC314E"/>
    <w:rsid w:val="00EC3422"/>
    <w:rsid w:val="00EC354D"/>
    <w:rsid w:val="00EC3CE1"/>
    <w:rsid w:val="00EC3EE7"/>
    <w:rsid w:val="00EC3FDE"/>
    <w:rsid w:val="00EC4029"/>
    <w:rsid w:val="00EC4092"/>
    <w:rsid w:val="00EC4C95"/>
    <w:rsid w:val="00EC4D69"/>
    <w:rsid w:val="00EC4EDA"/>
    <w:rsid w:val="00EC4F21"/>
    <w:rsid w:val="00EC510A"/>
    <w:rsid w:val="00EC52E7"/>
    <w:rsid w:val="00EC563C"/>
    <w:rsid w:val="00EC63A1"/>
    <w:rsid w:val="00EC69F6"/>
    <w:rsid w:val="00EC6C30"/>
    <w:rsid w:val="00EC6D2A"/>
    <w:rsid w:val="00EC7D83"/>
    <w:rsid w:val="00ED0990"/>
    <w:rsid w:val="00ED156E"/>
    <w:rsid w:val="00ED17D7"/>
    <w:rsid w:val="00ED1941"/>
    <w:rsid w:val="00ED1E21"/>
    <w:rsid w:val="00ED33E4"/>
    <w:rsid w:val="00ED42F7"/>
    <w:rsid w:val="00ED4428"/>
    <w:rsid w:val="00ED49F3"/>
    <w:rsid w:val="00ED4AE2"/>
    <w:rsid w:val="00ED5432"/>
    <w:rsid w:val="00ED6CF9"/>
    <w:rsid w:val="00ED6D47"/>
    <w:rsid w:val="00EE02D8"/>
    <w:rsid w:val="00EE0F29"/>
    <w:rsid w:val="00EE1A48"/>
    <w:rsid w:val="00EE25D4"/>
    <w:rsid w:val="00EE27DB"/>
    <w:rsid w:val="00EE2EDE"/>
    <w:rsid w:val="00EE4617"/>
    <w:rsid w:val="00EE52BB"/>
    <w:rsid w:val="00EE574F"/>
    <w:rsid w:val="00EE6259"/>
    <w:rsid w:val="00EE69D0"/>
    <w:rsid w:val="00EE7B48"/>
    <w:rsid w:val="00EF08B5"/>
    <w:rsid w:val="00EF1F92"/>
    <w:rsid w:val="00EF2199"/>
    <w:rsid w:val="00EF26BC"/>
    <w:rsid w:val="00EF4571"/>
    <w:rsid w:val="00EF4AA9"/>
    <w:rsid w:val="00EF602F"/>
    <w:rsid w:val="00EF69FB"/>
    <w:rsid w:val="00EF796D"/>
    <w:rsid w:val="00F00352"/>
    <w:rsid w:val="00F00FC0"/>
    <w:rsid w:val="00F01048"/>
    <w:rsid w:val="00F01D29"/>
    <w:rsid w:val="00F021C5"/>
    <w:rsid w:val="00F04C4B"/>
    <w:rsid w:val="00F102A9"/>
    <w:rsid w:val="00F103C8"/>
    <w:rsid w:val="00F10F9E"/>
    <w:rsid w:val="00F11973"/>
    <w:rsid w:val="00F1235E"/>
    <w:rsid w:val="00F12850"/>
    <w:rsid w:val="00F12A70"/>
    <w:rsid w:val="00F1307B"/>
    <w:rsid w:val="00F13BB5"/>
    <w:rsid w:val="00F13D58"/>
    <w:rsid w:val="00F14E18"/>
    <w:rsid w:val="00F15E2B"/>
    <w:rsid w:val="00F17C32"/>
    <w:rsid w:val="00F17E36"/>
    <w:rsid w:val="00F20EF0"/>
    <w:rsid w:val="00F20F10"/>
    <w:rsid w:val="00F21A82"/>
    <w:rsid w:val="00F2293C"/>
    <w:rsid w:val="00F22983"/>
    <w:rsid w:val="00F22A97"/>
    <w:rsid w:val="00F24283"/>
    <w:rsid w:val="00F242AF"/>
    <w:rsid w:val="00F25253"/>
    <w:rsid w:val="00F2529D"/>
    <w:rsid w:val="00F2681F"/>
    <w:rsid w:val="00F27C85"/>
    <w:rsid w:val="00F31036"/>
    <w:rsid w:val="00F32246"/>
    <w:rsid w:val="00F32323"/>
    <w:rsid w:val="00F32CF3"/>
    <w:rsid w:val="00F32F1B"/>
    <w:rsid w:val="00F33482"/>
    <w:rsid w:val="00F335EC"/>
    <w:rsid w:val="00F33849"/>
    <w:rsid w:val="00F34BF7"/>
    <w:rsid w:val="00F3528B"/>
    <w:rsid w:val="00F35CC0"/>
    <w:rsid w:val="00F365D9"/>
    <w:rsid w:val="00F36AC1"/>
    <w:rsid w:val="00F36EA9"/>
    <w:rsid w:val="00F36F60"/>
    <w:rsid w:val="00F372DB"/>
    <w:rsid w:val="00F37454"/>
    <w:rsid w:val="00F37725"/>
    <w:rsid w:val="00F37FF8"/>
    <w:rsid w:val="00F403BA"/>
    <w:rsid w:val="00F4159E"/>
    <w:rsid w:val="00F4182A"/>
    <w:rsid w:val="00F42093"/>
    <w:rsid w:val="00F442CF"/>
    <w:rsid w:val="00F45D4B"/>
    <w:rsid w:val="00F45ED2"/>
    <w:rsid w:val="00F46162"/>
    <w:rsid w:val="00F4651A"/>
    <w:rsid w:val="00F4654A"/>
    <w:rsid w:val="00F469BC"/>
    <w:rsid w:val="00F474D4"/>
    <w:rsid w:val="00F502DF"/>
    <w:rsid w:val="00F504C7"/>
    <w:rsid w:val="00F505D5"/>
    <w:rsid w:val="00F50727"/>
    <w:rsid w:val="00F51594"/>
    <w:rsid w:val="00F51719"/>
    <w:rsid w:val="00F52413"/>
    <w:rsid w:val="00F52421"/>
    <w:rsid w:val="00F52B8E"/>
    <w:rsid w:val="00F53855"/>
    <w:rsid w:val="00F548AD"/>
    <w:rsid w:val="00F54ACC"/>
    <w:rsid w:val="00F55468"/>
    <w:rsid w:val="00F55578"/>
    <w:rsid w:val="00F565A0"/>
    <w:rsid w:val="00F57D62"/>
    <w:rsid w:val="00F6048A"/>
    <w:rsid w:val="00F6075B"/>
    <w:rsid w:val="00F60E4E"/>
    <w:rsid w:val="00F6260C"/>
    <w:rsid w:val="00F627D5"/>
    <w:rsid w:val="00F64972"/>
    <w:rsid w:val="00F65C74"/>
    <w:rsid w:val="00F65FF7"/>
    <w:rsid w:val="00F66396"/>
    <w:rsid w:val="00F665A7"/>
    <w:rsid w:val="00F66A33"/>
    <w:rsid w:val="00F67D61"/>
    <w:rsid w:val="00F71B9C"/>
    <w:rsid w:val="00F71ED6"/>
    <w:rsid w:val="00F72482"/>
    <w:rsid w:val="00F735A2"/>
    <w:rsid w:val="00F7384F"/>
    <w:rsid w:val="00F741A3"/>
    <w:rsid w:val="00F747F0"/>
    <w:rsid w:val="00F75106"/>
    <w:rsid w:val="00F75B8F"/>
    <w:rsid w:val="00F7692D"/>
    <w:rsid w:val="00F76C35"/>
    <w:rsid w:val="00F76CF7"/>
    <w:rsid w:val="00F777B2"/>
    <w:rsid w:val="00F77D0E"/>
    <w:rsid w:val="00F80017"/>
    <w:rsid w:val="00F80065"/>
    <w:rsid w:val="00F8150C"/>
    <w:rsid w:val="00F817DB"/>
    <w:rsid w:val="00F8197D"/>
    <w:rsid w:val="00F81A6C"/>
    <w:rsid w:val="00F821DA"/>
    <w:rsid w:val="00F82B38"/>
    <w:rsid w:val="00F83DE7"/>
    <w:rsid w:val="00F83FDA"/>
    <w:rsid w:val="00F84D67"/>
    <w:rsid w:val="00F84F25"/>
    <w:rsid w:val="00F85716"/>
    <w:rsid w:val="00F858B0"/>
    <w:rsid w:val="00F85C0A"/>
    <w:rsid w:val="00F85C61"/>
    <w:rsid w:val="00F860CE"/>
    <w:rsid w:val="00F87001"/>
    <w:rsid w:val="00F87059"/>
    <w:rsid w:val="00F87582"/>
    <w:rsid w:val="00F90590"/>
    <w:rsid w:val="00F9121A"/>
    <w:rsid w:val="00F9149D"/>
    <w:rsid w:val="00F919FF"/>
    <w:rsid w:val="00F92989"/>
    <w:rsid w:val="00F92A28"/>
    <w:rsid w:val="00F92B2A"/>
    <w:rsid w:val="00F9334E"/>
    <w:rsid w:val="00F9420B"/>
    <w:rsid w:val="00F94610"/>
    <w:rsid w:val="00F94D8C"/>
    <w:rsid w:val="00F94F91"/>
    <w:rsid w:val="00F95CB3"/>
    <w:rsid w:val="00F96233"/>
    <w:rsid w:val="00F962A7"/>
    <w:rsid w:val="00F96680"/>
    <w:rsid w:val="00F96A9F"/>
    <w:rsid w:val="00F96ED4"/>
    <w:rsid w:val="00F975F5"/>
    <w:rsid w:val="00F97AD8"/>
    <w:rsid w:val="00FA020C"/>
    <w:rsid w:val="00FA079E"/>
    <w:rsid w:val="00FA0898"/>
    <w:rsid w:val="00FA1FC1"/>
    <w:rsid w:val="00FA2057"/>
    <w:rsid w:val="00FA249C"/>
    <w:rsid w:val="00FA329F"/>
    <w:rsid w:val="00FA355A"/>
    <w:rsid w:val="00FA56A1"/>
    <w:rsid w:val="00FA5E72"/>
    <w:rsid w:val="00FA65AD"/>
    <w:rsid w:val="00FA691C"/>
    <w:rsid w:val="00FA69C3"/>
    <w:rsid w:val="00FA711C"/>
    <w:rsid w:val="00FB023C"/>
    <w:rsid w:val="00FB0F22"/>
    <w:rsid w:val="00FB1C69"/>
    <w:rsid w:val="00FB1E1A"/>
    <w:rsid w:val="00FB206A"/>
    <w:rsid w:val="00FB37FA"/>
    <w:rsid w:val="00FB3C3E"/>
    <w:rsid w:val="00FB3CBB"/>
    <w:rsid w:val="00FB412E"/>
    <w:rsid w:val="00FB4DEF"/>
    <w:rsid w:val="00FB51FD"/>
    <w:rsid w:val="00FB5699"/>
    <w:rsid w:val="00FB681E"/>
    <w:rsid w:val="00FC015A"/>
    <w:rsid w:val="00FC209C"/>
    <w:rsid w:val="00FC31A5"/>
    <w:rsid w:val="00FC3C62"/>
    <w:rsid w:val="00FC4A4F"/>
    <w:rsid w:val="00FC62B9"/>
    <w:rsid w:val="00FC668B"/>
    <w:rsid w:val="00FC6B28"/>
    <w:rsid w:val="00FC7056"/>
    <w:rsid w:val="00FD004E"/>
    <w:rsid w:val="00FD1D54"/>
    <w:rsid w:val="00FD1F4B"/>
    <w:rsid w:val="00FD2761"/>
    <w:rsid w:val="00FD3193"/>
    <w:rsid w:val="00FD342F"/>
    <w:rsid w:val="00FD352A"/>
    <w:rsid w:val="00FD3B82"/>
    <w:rsid w:val="00FD44AE"/>
    <w:rsid w:val="00FD578C"/>
    <w:rsid w:val="00FD5D0E"/>
    <w:rsid w:val="00FD71EF"/>
    <w:rsid w:val="00FD739D"/>
    <w:rsid w:val="00FD7B54"/>
    <w:rsid w:val="00FE0EEA"/>
    <w:rsid w:val="00FE0FAA"/>
    <w:rsid w:val="00FE1338"/>
    <w:rsid w:val="00FE1906"/>
    <w:rsid w:val="00FE1DC2"/>
    <w:rsid w:val="00FE26D1"/>
    <w:rsid w:val="00FE2E96"/>
    <w:rsid w:val="00FE2F13"/>
    <w:rsid w:val="00FE2F70"/>
    <w:rsid w:val="00FE31F1"/>
    <w:rsid w:val="00FE3506"/>
    <w:rsid w:val="00FE3E71"/>
    <w:rsid w:val="00FE5166"/>
    <w:rsid w:val="00FE5711"/>
    <w:rsid w:val="00FE5A61"/>
    <w:rsid w:val="00FE5AB6"/>
    <w:rsid w:val="00FE659E"/>
    <w:rsid w:val="00FE6E48"/>
    <w:rsid w:val="00FE70E4"/>
    <w:rsid w:val="00FE70E6"/>
    <w:rsid w:val="00FE73BF"/>
    <w:rsid w:val="00FE7488"/>
    <w:rsid w:val="00FE751D"/>
    <w:rsid w:val="00FE769C"/>
    <w:rsid w:val="00FE7DF7"/>
    <w:rsid w:val="00FF000B"/>
    <w:rsid w:val="00FF0437"/>
    <w:rsid w:val="00FF08AD"/>
    <w:rsid w:val="00FF1178"/>
    <w:rsid w:val="00FF13AA"/>
    <w:rsid w:val="00FF2015"/>
    <w:rsid w:val="00FF3FD2"/>
    <w:rsid w:val="00FF5D8A"/>
    <w:rsid w:val="00FF79B6"/>
    <w:rsid w:val="00FF7C2C"/>
    <w:rsid w:val="0FBB6B5F"/>
    <w:rsid w:val="0FBC27ED"/>
    <w:rsid w:val="10750A53"/>
    <w:rsid w:val="15ED2807"/>
    <w:rsid w:val="18EE557D"/>
    <w:rsid w:val="1E737A09"/>
    <w:rsid w:val="2663047F"/>
    <w:rsid w:val="27382E53"/>
    <w:rsid w:val="33FA4C57"/>
    <w:rsid w:val="38D330CF"/>
    <w:rsid w:val="3D39509E"/>
    <w:rsid w:val="40FD06AB"/>
    <w:rsid w:val="41364C78"/>
    <w:rsid w:val="41791133"/>
    <w:rsid w:val="47302D7E"/>
    <w:rsid w:val="55B41C86"/>
    <w:rsid w:val="5C395353"/>
    <w:rsid w:val="5C493A07"/>
    <w:rsid w:val="6648598B"/>
    <w:rsid w:val="6F6F76EA"/>
    <w:rsid w:val="74416D0A"/>
    <w:rsid w:val="74D85D33"/>
    <w:rsid w:val="752318E6"/>
    <w:rsid w:val="77BA7E4F"/>
    <w:rsid w:val="7E65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仿宋_GB2312" w:hAnsi="Calibri" w:eastAsia="仿宋_GB2312" w:cs="Times New Roman"/>
      <w:kern w:val="2"/>
      <w:sz w:val="30"/>
      <w:szCs w:val="30"/>
      <w:lang w:val="en-US" w:eastAsia="zh-CN" w:bidi="ar-SA"/>
    </w:rPr>
  </w:style>
  <w:style w:type="paragraph" w:styleId="2">
    <w:name w:val="heading 1"/>
    <w:basedOn w:val="3"/>
    <w:next w:val="1"/>
    <w:link w:val="36"/>
    <w:qFormat/>
    <w:uiPriority w:val="9"/>
    <w:pPr>
      <w:ind w:firstLine="0" w:firstLineChars="0"/>
      <w:jc w:val="center"/>
      <w:outlineLvl w:val="0"/>
    </w:pPr>
    <w:rPr>
      <w:rFonts w:ascii="黑体" w:hAnsi="黑体" w:eastAsia="黑体"/>
    </w:rPr>
  </w:style>
  <w:style w:type="paragraph" w:styleId="4">
    <w:name w:val="heading 2"/>
    <w:basedOn w:val="1"/>
    <w:next w:val="1"/>
    <w:link w:val="37"/>
    <w:unhideWhenUsed/>
    <w:qFormat/>
    <w:uiPriority w:val="9"/>
    <w:pPr>
      <w:keepNext/>
      <w:keepLines/>
      <w:spacing w:before="260" w:line="415" w:lineRule="auto"/>
      <w:ind w:firstLine="602"/>
      <w:outlineLvl w:val="1"/>
    </w:pPr>
    <w:rPr>
      <w:rFonts w:ascii="Cambria" w:hAnsi="Cambria"/>
      <w:b/>
      <w:bCs/>
      <w:kern w:val="0"/>
      <w:lang w:val="zh-CN"/>
    </w:rPr>
  </w:style>
  <w:style w:type="paragraph" w:styleId="5">
    <w:name w:val="heading 3"/>
    <w:basedOn w:val="1"/>
    <w:next w:val="1"/>
    <w:link w:val="38"/>
    <w:unhideWhenUsed/>
    <w:qFormat/>
    <w:uiPriority w:val="9"/>
    <w:pPr>
      <w:outlineLvl w:val="2"/>
    </w:pPr>
  </w:style>
  <w:style w:type="paragraph" w:styleId="6">
    <w:name w:val="heading 4"/>
    <w:basedOn w:val="1"/>
    <w:next w:val="1"/>
    <w:link w:val="5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6"/>
    <w:unhideWhenUsed/>
    <w:qFormat/>
    <w:uiPriority w:val="9"/>
    <w:pPr>
      <w:keepNext/>
      <w:keepLines/>
      <w:spacing w:before="280" w:after="290" w:line="376"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link w:val="42"/>
    <w:qFormat/>
    <w:uiPriority w:val="34"/>
    <w:pPr>
      <w:ind w:firstLine="420"/>
    </w:pPr>
  </w:style>
  <w:style w:type="paragraph" w:styleId="8">
    <w:name w:val="toc 7"/>
    <w:basedOn w:val="1"/>
    <w:next w:val="1"/>
    <w:unhideWhenUsed/>
    <w:qFormat/>
    <w:uiPriority w:val="39"/>
    <w:pPr>
      <w:ind w:left="2520" w:leftChars="1200"/>
    </w:pPr>
    <w:rPr>
      <w:rFonts w:asciiTheme="minorHAnsi" w:hAnsiTheme="minorHAnsi" w:eastAsiaTheme="minorEastAsia" w:cstheme="minorBidi"/>
    </w:rPr>
  </w:style>
  <w:style w:type="paragraph" w:styleId="9">
    <w:name w:val="Normal Indent"/>
    <w:basedOn w:val="1"/>
    <w:qFormat/>
    <w:uiPriority w:val="99"/>
    <w:pPr>
      <w:adjustRightInd w:val="0"/>
      <w:snapToGrid w:val="0"/>
      <w:spacing w:beforeLines="50" w:afterLines="50" w:line="288" w:lineRule="auto"/>
      <w:ind w:firstLine="200"/>
    </w:pPr>
    <w:rPr>
      <w:rFonts w:ascii="Times New Roman" w:hAnsi="Times New Roman" w:eastAsia="楷体_GB2312"/>
      <w:sz w:val="24"/>
      <w:szCs w:val="24"/>
    </w:rPr>
  </w:style>
  <w:style w:type="paragraph" w:styleId="10">
    <w:name w:val="Document Map"/>
    <w:basedOn w:val="1"/>
    <w:link w:val="46"/>
    <w:semiHidden/>
    <w:unhideWhenUsed/>
    <w:qFormat/>
    <w:uiPriority w:val="99"/>
    <w:rPr>
      <w:rFonts w:ascii="宋体"/>
      <w:kern w:val="0"/>
      <w:sz w:val="18"/>
      <w:szCs w:val="18"/>
      <w:lang w:val="zh-CN" w:eastAsia="zh-CN"/>
    </w:rPr>
  </w:style>
  <w:style w:type="paragraph" w:styleId="11">
    <w:name w:val="annotation text"/>
    <w:basedOn w:val="1"/>
    <w:link w:val="48"/>
    <w:unhideWhenUsed/>
    <w:qFormat/>
    <w:uiPriority w:val="0"/>
    <w:pPr>
      <w:jc w:val="left"/>
    </w:pPr>
  </w:style>
  <w:style w:type="paragraph" w:styleId="12">
    <w:name w:val="Body Text Indent"/>
    <w:basedOn w:val="1"/>
    <w:link w:val="54"/>
    <w:qFormat/>
    <w:uiPriority w:val="0"/>
    <w:pPr>
      <w:spacing w:line="460" w:lineRule="exact"/>
      <w:ind w:left="106" w:leftChars="38" w:firstLine="792" w:firstLineChars="330"/>
    </w:pPr>
    <w:rPr>
      <w:rFonts w:ascii="楷体_GB2312" w:hAnsi="宋体" w:eastAsia="楷体_GB2312"/>
      <w:iCs/>
      <w:color w:val="000000"/>
      <w:sz w:val="24"/>
      <w:szCs w:val="20"/>
      <w:lang w:val="zh-CN" w:eastAsia="zh-CN"/>
    </w:rPr>
  </w:style>
  <w:style w:type="paragraph" w:styleId="13">
    <w:name w:val="toc 5"/>
    <w:basedOn w:val="1"/>
    <w:next w:val="1"/>
    <w:unhideWhenUsed/>
    <w:qFormat/>
    <w:uiPriority w:val="39"/>
    <w:pPr>
      <w:ind w:left="1680" w:leftChars="800"/>
    </w:pPr>
    <w:rPr>
      <w:rFonts w:asciiTheme="minorHAnsi" w:hAnsiTheme="minorHAnsi" w:eastAsiaTheme="minorEastAsia" w:cstheme="minorBidi"/>
    </w:rPr>
  </w:style>
  <w:style w:type="paragraph" w:styleId="14">
    <w:name w:val="toc 3"/>
    <w:basedOn w:val="1"/>
    <w:next w:val="1"/>
    <w:unhideWhenUsed/>
    <w:qFormat/>
    <w:uiPriority w:val="39"/>
    <w:pPr>
      <w:widowControl/>
      <w:spacing w:after="100" w:line="276" w:lineRule="auto"/>
      <w:ind w:left="440"/>
      <w:jc w:val="left"/>
    </w:pPr>
    <w:rPr>
      <w:kern w:val="0"/>
      <w:sz w:val="22"/>
    </w:rPr>
  </w:style>
  <w:style w:type="paragraph" w:styleId="15">
    <w:name w:val="Plain Text"/>
    <w:basedOn w:val="1"/>
    <w:link w:val="57"/>
    <w:unhideWhenUsed/>
    <w:qFormat/>
    <w:uiPriority w:val="0"/>
    <w:pPr>
      <w:widowControl/>
      <w:jc w:val="left"/>
    </w:pPr>
    <w:rPr>
      <w:rFonts w:ascii="宋体" w:hAnsi="Courier New"/>
      <w:szCs w:val="20"/>
    </w:rPr>
  </w:style>
  <w:style w:type="paragraph" w:styleId="16">
    <w:name w:val="toc 8"/>
    <w:basedOn w:val="1"/>
    <w:next w:val="1"/>
    <w:unhideWhenUsed/>
    <w:qFormat/>
    <w:uiPriority w:val="39"/>
    <w:pPr>
      <w:ind w:left="2940" w:leftChars="1400"/>
    </w:pPr>
    <w:rPr>
      <w:rFonts w:asciiTheme="minorHAnsi" w:hAnsiTheme="minorHAnsi" w:eastAsiaTheme="minorEastAsia" w:cstheme="minorBidi"/>
    </w:rPr>
  </w:style>
  <w:style w:type="paragraph" w:styleId="17">
    <w:name w:val="Date"/>
    <w:basedOn w:val="1"/>
    <w:next w:val="1"/>
    <w:link w:val="52"/>
    <w:semiHidden/>
    <w:unhideWhenUsed/>
    <w:qFormat/>
    <w:uiPriority w:val="99"/>
    <w:pPr>
      <w:ind w:left="100" w:leftChars="2500"/>
    </w:pPr>
  </w:style>
  <w:style w:type="paragraph" w:styleId="18">
    <w:name w:val="Balloon Text"/>
    <w:basedOn w:val="1"/>
    <w:link w:val="44"/>
    <w:semiHidden/>
    <w:unhideWhenUsed/>
    <w:qFormat/>
    <w:uiPriority w:val="99"/>
    <w:rPr>
      <w:kern w:val="0"/>
      <w:sz w:val="18"/>
      <w:szCs w:val="18"/>
      <w:lang w:val="zh-CN" w:eastAsia="zh-CN"/>
    </w:rPr>
  </w:style>
  <w:style w:type="paragraph" w:styleId="19">
    <w:name w:val="footer"/>
    <w:basedOn w:val="1"/>
    <w:link w:val="41"/>
    <w:unhideWhenUsed/>
    <w:qFormat/>
    <w:uiPriority w:val="99"/>
    <w:pPr>
      <w:tabs>
        <w:tab w:val="center" w:pos="4153"/>
        <w:tab w:val="right" w:pos="8306"/>
      </w:tabs>
      <w:snapToGrid w:val="0"/>
      <w:jc w:val="left"/>
    </w:pPr>
    <w:rPr>
      <w:kern w:val="0"/>
      <w:sz w:val="18"/>
      <w:szCs w:val="18"/>
      <w:lang w:val="zh-CN" w:eastAsia="zh-CN"/>
    </w:rPr>
  </w:style>
  <w:style w:type="paragraph" w:styleId="20">
    <w:name w:val="header"/>
    <w:basedOn w:val="1"/>
    <w:link w:val="40"/>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21">
    <w:name w:val="toc 1"/>
    <w:basedOn w:val="1"/>
    <w:next w:val="1"/>
    <w:unhideWhenUsed/>
    <w:qFormat/>
    <w:uiPriority w:val="39"/>
    <w:pPr>
      <w:widowControl/>
      <w:tabs>
        <w:tab w:val="right" w:leader="dot" w:pos="8296"/>
      </w:tabs>
      <w:spacing w:after="100" w:line="276" w:lineRule="auto"/>
      <w:ind w:firstLine="0" w:firstLineChars="0"/>
    </w:pPr>
    <w:rPr>
      <w:b/>
      <w:kern w:val="0"/>
      <w:sz w:val="22"/>
    </w:rPr>
  </w:style>
  <w:style w:type="paragraph" w:styleId="22">
    <w:name w:val="toc 4"/>
    <w:basedOn w:val="1"/>
    <w:next w:val="1"/>
    <w:unhideWhenUsed/>
    <w:qFormat/>
    <w:uiPriority w:val="39"/>
    <w:pPr>
      <w:ind w:left="1260" w:leftChars="600"/>
    </w:pPr>
    <w:rPr>
      <w:rFonts w:asciiTheme="minorHAnsi" w:hAnsiTheme="minorHAnsi" w:eastAsiaTheme="minorEastAsia" w:cstheme="minorBidi"/>
    </w:rPr>
  </w:style>
  <w:style w:type="paragraph" w:styleId="23">
    <w:name w:val="footnote text"/>
    <w:basedOn w:val="1"/>
    <w:link w:val="47"/>
    <w:semiHidden/>
    <w:unhideWhenUsed/>
    <w:qFormat/>
    <w:uiPriority w:val="99"/>
    <w:pPr>
      <w:snapToGrid w:val="0"/>
      <w:jc w:val="left"/>
    </w:pPr>
    <w:rPr>
      <w:kern w:val="0"/>
      <w:sz w:val="18"/>
      <w:szCs w:val="18"/>
      <w:lang w:val="zh-CN" w:eastAsia="zh-CN"/>
    </w:rPr>
  </w:style>
  <w:style w:type="paragraph" w:styleId="24">
    <w:name w:val="toc 6"/>
    <w:basedOn w:val="1"/>
    <w:next w:val="1"/>
    <w:unhideWhenUsed/>
    <w:qFormat/>
    <w:uiPriority w:val="39"/>
    <w:pPr>
      <w:ind w:left="2100" w:leftChars="1000"/>
    </w:pPr>
    <w:rPr>
      <w:rFonts w:asciiTheme="minorHAnsi" w:hAnsiTheme="minorHAnsi" w:eastAsiaTheme="minorEastAsia" w:cstheme="minorBidi"/>
    </w:rPr>
  </w:style>
  <w:style w:type="paragraph" w:styleId="25">
    <w:name w:val="toc 2"/>
    <w:basedOn w:val="1"/>
    <w:next w:val="1"/>
    <w:unhideWhenUsed/>
    <w:qFormat/>
    <w:uiPriority w:val="39"/>
    <w:pPr>
      <w:widowControl/>
      <w:tabs>
        <w:tab w:val="right" w:leader="dot" w:pos="8296"/>
      </w:tabs>
      <w:spacing w:line="276" w:lineRule="auto"/>
      <w:ind w:left="221" w:firstLine="64" w:firstLineChars="29"/>
      <w:jc w:val="left"/>
    </w:pPr>
    <w:rPr>
      <w:kern w:val="0"/>
      <w:sz w:val="22"/>
    </w:rPr>
  </w:style>
  <w:style w:type="paragraph" w:styleId="26">
    <w:name w:val="toc 9"/>
    <w:basedOn w:val="1"/>
    <w:next w:val="1"/>
    <w:unhideWhenUsed/>
    <w:qFormat/>
    <w:uiPriority w:val="39"/>
    <w:pPr>
      <w:ind w:left="3360" w:leftChars="1600"/>
    </w:pPr>
    <w:rPr>
      <w:rFonts w:asciiTheme="minorHAnsi" w:hAnsiTheme="minorHAnsi" w:eastAsiaTheme="minorEastAsia" w:cstheme="minorBidi"/>
    </w:r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11"/>
    <w:next w:val="11"/>
    <w:link w:val="49"/>
    <w:semiHidden/>
    <w:unhideWhenUsed/>
    <w:qFormat/>
    <w:uiPriority w:val="99"/>
    <w:rPr>
      <w:b/>
      <w:bCs/>
      <w:kern w:val="0"/>
      <w:sz w:val="20"/>
      <w:szCs w:val="20"/>
      <w:lang w:val="zh-CN" w:eastAsia="zh-CN"/>
    </w:rPr>
  </w:style>
  <w:style w:type="table" w:styleId="30">
    <w:name w:val="Table Grid"/>
    <w:basedOn w:val="29"/>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unhideWhenUsed/>
    <w:qFormat/>
    <w:uiPriority w:val="99"/>
    <w:rPr>
      <w:color w:val="0000FF"/>
      <w:u w:val="single"/>
    </w:rPr>
  </w:style>
  <w:style w:type="character" w:styleId="34">
    <w:name w:val="annotation reference"/>
    <w:unhideWhenUsed/>
    <w:qFormat/>
    <w:uiPriority w:val="0"/>
    <w:rPr>
      <w:sz w:val="21"/>
      <w:szCs w:val="21"/>
    </w:rPr>
  </w:style>
  <w:style w:type="character" w:styleId="35">
    <w:name w:val="footnote reference"/>
    <w:semiHidden/>
    <w:unhideWhenUsed/>
    <w:qFormat/>
    <w:uiPriority w:val="99"/>
    <w:rPr>
      <w:vertAlign w:val="superscript"/>
    </w:rPr>
  </w:style>
  <w:style w:type="character" w:customStyle="1" w:styleId="36">
    <w:name w:val="标题 1 Char"/>
    <w:link w:val="2"/>
    <w:qFormat/>
    <w:uiPriority w:val="9"/>
    <w:rPr>
      <w:rFonts w:ascii="黑体" w:hAnsi="黑体" w:eastAsia="黑体"/>
      <w:kern w:val="2"/>
      <w:sz w:val="30"/>
      <w:szCs w:val="30"/>
    </w:rPr>
  </w:style>
  <w:style w:type="character" w:customStyle="1" w:styleId="37">
    <w:name w:val="标题 2 Char"/>
    <w:link w:val="4"/>
    <w:qFormat/>
    <w:uiPriority w:val="9"/>
    <w:rPr>
      <w:rFonts w:ascii="Cambria" w:hAnsi="Cambria" w:eastAsia="仿宋_GB2312"/>
      <w:b/>
      <w:bCs/>
      <w:sz w:val="30"/>
      <w:szCs w:val="30"/>
      <w:lang w:val="zh-CN"/>
    </w:rPr>
  </w:style>
  <w:style w:type="character" w:customStyle="1" w:styleId="38">
    <w:name w:val="标题 3 Char"/>
    <w:link w:val="5"/>
    <w:qFormat/>
    <w:uiPriority w:val="9"/>
    <w:rPr>
      <w:rFonts w:ascii="仿宋_GB2312" w:eastAsia="仿宋_GB2312"/>
      <w:kern w:val="2"/>
      <w:sz w:val="30"/>
      <w:szCs w:val="30"/>
    </w:rPr>
  </w:style>
  <w:style w:type="paragraph" w:customStyle="1" w:styleId="39">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40">
    <w:name w:val="页眉 Char"/>
    <w:link w:val="20"/>
    <w:qFormat/>
    <w:uiPriority w:val="99"/>
    <w:rPr>
      <w:sz w:val="18"/>
      <w:szCs w:val="18"/>
    </w:rPr>
  </w:style>
  <w:style w:type="character" w:customStyle="1" w:styleId="41">
    <w:name w:val="页脚 Char"/>
    <w:link w:val="19"/>
    <w:qFormat/>
    <w:uiPriority w:val="99"/>
    <w:rPr>
      <w:sz w:val="18"/>
      <w:szCs w:val="18"/>
    </w:rPr>
  </w:style>
  <w:style w:type="character" w:customStyle="1" w:styleId="42">
    <w:name w:val="列出段落 Char"/>
    <w:link w:val="3"/>
    <w:qFormat/>
    <w:uiPriority w:val="34"/>
  </w:style>
  <w:style w:type="paragraph" w:customStyle="1" w:styleId="43">
    <w:name w:val="TOC Heading"/>
    <w:basedOn w:val="2"/>
    <w:next w:val="1"/>
    <w:semiHidden/>
    <w:unhideWhenUsed/>
    <w:qFormat/>
    <w:uiPriority w:val="39"/>
    <w:pPr>
      <w:outlineLvl w:val="9"/>
    </w:pPr>
  </w:style>
  <w:style w:type="character" w:customStyle="1" w:styleId="44">
    <w:name w:val="批注框文本 Char"/>
    <w:link w:val="18"/>
    <w:semiHidden/>
    <w:qFormat/>
    <w:uiPriority w:val="99"/>
    <w:rPr>
      <w:sz w:val="18"/>
      <w:szCs w:val="18"/>
    </w:rPr>
  </w:style>
  <w:style w:type="paragraph" w:customStyle="1" w:styleId="45">
    <w:name w:val="Normal0"/>
    <w:qFormat/>
    <w:uiPriority w:val="0"/>
    <w:rPr>
      <w:rFonts w:ascii="Times New Roman" w:hAnsi="Times New Roman" w:eastAsia="宋体" w:cs="Times New Roman"/>
      <w:lang w:val="en-US" w:eastAsia="en-US" w:bidi="ar-SA"/>
    </w:rPr>
  </w:style>
  <w:style w:type="character" w:customStyle="1" w:styleId="46">
    <w:name w:val="文档结构图 Char"/>
    <w:link w:val="10"/>
    <w:semiHidden/>
    <w:qFormat/>
    <w:uiPriority w:val="99"/>
    <w:rPr>
      <w:rFonts w:ascii="宋体" w:eastAsia="宋体"/>
      <w:sz w:val="18"/>
      <w:szCs w:val="18"/>
    </w:rPr>
  </w:style>
  <w:style w:type="character" w:customStyle="1" w:styleId="47">
    <w:name w:val="脚注文本 Char"/>
    <w:link w:val="23"/>
    <w:semiHidden/>
    <w:qFormat/>
    <w:uiPriority w:val="99"/>
    <w:rPr>
      <w:sz w:val="18"/>
      <w:szCs w:val="18"/>
    </w:rPr>
  </w:style>
  <w:style w:type="character" w:customStyle="1" w:styleId="48">
    <w:name w:val="批注文字 Char"/>
    <w:basedOn w:val="31"/>
    <w:link w:val="11"/>
    <w:qFormat/>
    <w:uiPriority w:val="0"/>
  </w:style>
  <w:style w:type="character" w:customStyle="1" w:styleId="49">
    <w:name w:val="批注主题 Char"/>
    <w:link w:val="28"/>
    <w:semiHidden/>
    <w:qFormat/>
    <w:uiPriority w:val="99"/>
    <w:rPr>
      <w:b/>
      <w:bCs/>
    </w:rPr>
  </w:style>
  <w:style w:type="paragraph" w:customStyle="1" w:styleId="50">
    <w:name w:val="正文样式"/>
    <w:basedOn w:val="3"/>
    <w:link w:val="51"/>
    <w:qFormat/>
    <w:uiPriority w:val="0"/>
    <w:pPr>
      <w:spacing w:beforeLines="100" w:afterLines="50" w:line="360" w:lineRule="auto"/>
      <w:ind w:left="1260" w:leftChars="600" w:firstLine="0" w:firstLineChars="0"/>
    </w:pPr>
    <w:rPr>
      <w:rFonts w:hAnsi="Times New Roman"/>
      <w:kern w:val="0"/>
      <w:sz w:val="28"/>
      <w:szCs w:val="28"/>
      <w:lang w:val="zh-CN" w:eastAsia="zh-CN"/>
    </w:rPr>
  </w:style>
  <w:style w:type="character" w:customStyle="1" w:styleId="51">
    <w:name w:val="正文样式 Char"/>
    <w:link w:val="50"/>
    <w:qFormat/>
    <w:uiPriority w:val="0"/>
    <w:rPr>
      <w:rFonts w:ascii="仿宋_GB2312" w:hAnsi="Times New Roman" w:eastAsia="仿宋_GB2312" w:cs="Times New Roman"/>
      <w:sz w:val="28"/>
      <w:szCs w:val="28"/>
    </w:rPr>
  </w:style>
  <w:style w:type="character" w:customStyle="1" w:styleId="52">
    <w:name w:val="日期 Char"/>
    <w:basedOn w:val="31"/>
    <w:link w:val="17"/>
    <w:semiHidden/>
    <w:qFormat/>
    <w:uiPriority w:val="99"/>
  </w:style>
  <w:style w:type="paragraph" w:customStyle="1" w:styleId="53">
    <w:name w:val="Revision"/>
    <w:hidden/>
    <w:semiHidden/>
    <w:qFormat/>
    <w:uiPriority w:val="99"/>
    <w:rPr>
      <w:rFonts w:ascii="Calibri" w:hAnsi="Calibri" w:eastAsia="宋体" w:cs="Times New Roman"/>
      <w:kern w:val="2"/>
      <w:sz w:val="21"/>
      <w:szCs w:val="22"/>
      <w:lang w:val="en-US" w:eastAsia="zh-CN" w:bidi="ar-SA"/>
    </w:rPr>
  </w:style>
  <w:style w:type="character" w:customStyle="1" w:styleId="54">
    <w:name w:val="正文文本缩进 Char"/>
    <w:link w:val="12"/>
    <w:qFormat/>
    <w:uiPriority w:val="0"/>
    <w:rPr>
      <w:rFonts w:ascii="楷体_GB2312" w:hAnsi="宋体" w:eastAsia="楷体_GB2312"/>
      <w:iCs/>
      <w:color w:val="000000"/>
      <w:kern w:val="2"/>
      <w:sz w:val="24"/>
      <w:lang w:val="zh-CN" w:eastAsia="zh-CN"/>
    </w:rPr>
  </w:style>
  <w:style w:type="character" w:customStyle="1" w:styleId="55">
    <w:name w:val="标题 4 Char"/>
    <w:basedOn w:val="31"/>
    <w:link w:val="6"/>
    <w:qFormat/>
    <w:uiPriority w:val="9"/>
    <w:rPr>
      <w:rFonts w:asciiTheme="majorHAnsi" w:hAnsiTheme="majorHAnsi" w:eastAsiaTheme="majorEastAsia" w:cstheme="majorBidi"/>
      <w:b/>
      <w:bCs/>
      <w:kern w:val="2"/>
      <w:sz w:val="28"/>
      <w:szCs w:val="28"/>
    </w:rPr>
  </w:style>
  <w:style w:type="character" w:customStyle="1" w:styleId="56">
    <w:name w:val="标题 5 Char"/>
    <w:basedOn w:val="31"/>
    <w:link w:val="7"/>
    <w:qFormat/>
    <w:uiPriority w:val="9"/>
    <w:rPr>
      <w:b/>
      <w:bCs/>
      <w:kern w:val="2"/>
      <w:sz w:val="28"/>
      <w:szCs w:val="28"/>
    </w:rPr>
  </w:style>
  <w:style w:type="character" w:customStyle="1" w:styleId="57">
    <w:name w:val="纯文本 Char"/>
    <w:basedOn w:val="31"/>
    <w:link w:val="15"/>
    <w:qFormat/>
    <w:uiPriority w:val="0"/>
    <w:rPr>
      <w:rFonts w:ascii="宋体" w:hAnsi="Courier New"/>
      <w:kern w:val="2"/>
      <w:sz w:val="21"/>
    </w:rPr>
  </w:style>
  <w:style w:type="paragraph" w:styleId="58">
    <w:name w:val="No Spacing"/>
    <w:qFormat/>
    <w:uiPriority w:val="1"/>
    <w:pPr>
      <w:widowControl w:val="0"/>
      <w:ind w:firstLine="600" w:firstLineChars="200"/>
      <w:jc w:val="both"/>
    </w:pPr>
    <w:rPr>
      <w:rFonts w:ascii="仿宋_GB2312" w:hAnsi="Calibri" w:eastAsia="仿宋_GB2312" w:cs="Times New Roman"/>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97953-F79D-44CA-BD29-36533E43DA79}">
  <ds:schemaRefs/>
</ds:datastoreItem>
</file>

<file path=customXml/itemProps2.xml><?xml version="1.0" encoding="utf-8"?>
<ds:datastoreItem xmlns:ds="http://schemas.openxmlformats.org/officeDocument/2006/customXml" ds:itemID="{6D5F462C-73DC-4254-ABB6-452A1BE3F3D6}">
  <ds:schemaRefs/>
</ds:datastoreItem>
</file>

<file path=customXml/itemProps3.xml><?xml version="1.0" encoding="utf-8"?>
<ds:datastoreItem xmlns:ds="http://schemas.openxmlformats.org/officeDocument/2006/customXml" ds:itemID="{66457376-BC76-4F6D-BE5E-3B6D5C779397}">
  <ds:schemaRefs/>
</ds:datastoreItem>
</file>

<file path=docProps/app.xml><?xml version="1.0" encoding="utf-8"?>
<Properties xmlns="http://schemas.openxmlformats.org/officeDocument/2006/extended-properties" xmlns:vt="http://schemas.openxmlformats.org/officeDocument/2006/docPropsVTypes">
  <Template>Normal</Template>
  <Company>SZSE</Company>
  <Pages>53</Pages>
  <Words>3740</Words>
  <Characters>21318</Characters>
  <Lines>177</Lines>
  <Paragraphs>50</Paragraphs>
  <TotalTime>4</TotalTime>
  <ScaleCrop>false</ScaleCrop>
  <LinksUpToDate>false</LinksUpToDate>
  <CharactersWithSpaces>25008</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2021-03-22T10:36:00Z</dcterms:created>
  <dc:creator>xwp</dc:creator>
  <cp:lastModifiedBy>Administrator</cp:lastModifiedBy>
  <cp:lastPrinted>2019-01-03T06:37:00Z</cp:lastPrinted>
  <dcterms:modified xsi:type="dcterms:W3CDTF">2023-11-27T06:49:10Z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KSOProductBuildVer">
    <vt:lpwstr>2052-11.8.2.12080</vt:lpwstr>
  </property>
  <property fmtid="{D5CDD505-2E9C-101B-9397-08002B2CF9AE}" pid="4" name="ICV">
    <vt:lpwstr>206C727F1BC545C59BC43B5B1A27964A</vt:lpwstr>
  </property>
</Properties>
</file>