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cs="Times New Roman" w:eastAsiaTheme="minorEastAsia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Times New Roman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《深圳证券交易所上市公司自律监管指南第3号——可持续发展报告编制（征求意见稿）》《深圳证券交易所创业板上市公司自律监管指南第3号——可持续发展报告编制（征求意见稿）》起草说明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为了落实《国务院关于加强监管防范风险推动资本市场高质量发展的若干意见》，规范上市公司可持续发展信息披露，推动提高上市公司质量，本所根据《深圳证券交易所上市公司自律监管指引第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号——可持续发展报告（试行）》（以下简称《指引》）等相关规定要求，结合市场需求和国内外可持续发展信息披露相关实践，起草了《深圳证券交易所上市公司自律监管指南第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号——可持续发展报告编制（征求意见稿）》《深圳证券交易所创业板上市公司自律监管指南第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号——可持续发展报告编制（征求意见稿）》（以下统称《指南》），现将主要起草情况说明如下：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《国务院关于加强监管防范风险推动资本市场高质量发展的若干意见》提出，要健全上市公司可持续信息披露制度。本所前期制定出台《指引》，系统规范了上市公司可持续发展报告相关披露要求。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《指引》</w:t>
      </w:r>
      <w:r>
        <w:rPr>
          <w:rFonts w:hint="eastAsia" w:ascii="仿宋" w:hAnsi="仿宋" w:eastAsia="仿宋" w:cs="仿宋"/>
          <w:sz w:val="32"/>
          <w:szCs w:val="32"/>
        </w:rPr>
        <w:t>征求意见过程中，部分上市公司和投资者反映，希望结合上市公司实践，提供更加具体的应用指南，帮助公司更好理解和落实《指引》相关要求。为此，在中国证监会统一部署下，本所结合市场诉求，针对可持续发展报告编制过程中的重点难点问题起草本《指南》。起草过程总体坚持以下思路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一是推动实践先行，增强上市公司可持续发展意识。</w:t>
      </w:r>
      <w:r>
        <w:rPr>
          <w:rFonts w:hint="eastAsia" w:ascii="仿宋" w:hAnsi="仿宋" w:eastAsia="仿宋" w:cs="仿宋"/>
          <w:sz w:val="32"/>
          <w:szCs w:val="32"/>
        </w:rPr>
        <w:t>《指南》定位于《指引》的“教科书”和典型实践推荐，内容既包括披露要点提示和示例，也涵盖了重要概念解释、主要实施步骤、相关参考索引等，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旨在</w:t>
      </w:r>
      <w:r>
        <w:rPr>
          <w:rFonts w:hint="eastAsia" w:ascii="仿宋" w:hAnsi="仿宋" w:eastAsia="仿宋" w:cs="仿宋"/>
          <w:sz w:val="32"/>
          <w:szCs w:val="32"/>
        </w:rPr>
        <w:t>推动上市公司健全治理、强化管理、提升可持续发展意识，以更好的实践推动更好的披露。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二是辅助参考为主，不设置额外的强制披露要求。</w:t>
      </w:r>
      <w:r>
        <w:rPr>
          <w:rFonts w:hint="eastAsia" w:ascii="仿宋" w:hAnsi="仿宋" w:eastAsia="仿宋" w:cs="仿宋"/>
          <w:sz w:val="32"/>
          <w:szCs w:val="32"/>
        </w:rPr>
        <w:t>《指南》以《指引》为基本框架，在此基础上进一步提示工作流程及报告披露要点，为上市公司编制可持续发展报告提供参考。不在《指引》之外新增额外强制性披露要求，不增加上市公司披露负担。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三是突出重点难点，为上市公司提供必要指导。</w:t>
      </w:r>
      <w:r>
        <w:rPr>
          <w:rFonts w:hint="eastAsia" w:ascii="仿宋" w:hAnsi="仿宋" w:eastAsia="仿宋" w:cs="仿宋"/>
          <w:bCs/>
          <w:sz w:val="32"/>
          <w:szCs w:val="32"/>
        </w:rPr>
        <w:t>《指南》针对完善可持续发展治理架构、双重重要性评估分析、四要素披露框架应用等重点难点内容，给予必要的细化指导。相关内容既参考了国内外相关法规、标准和行业规范，也充分考虑了上市公司现阶段实践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四是坚持系统思维，稳步推进健全制度体系。</w:t>
      </w:r>
      <w:r>
        <w:rPr>
          <w:rFonts w:hint="eastAsia" w:ascii="仿宋" w:hAnsi="仿宋" w:eastAsia="仿宋" w:cs="仿宋"/>
          <w:sz w:val="32"/>
          <w:szCs w:val="32"/>
        </w:rPr>
        <w:t>本次先行设置第一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章“总</w:t>
      </w:r>
      <w:r>
        <w:rPr>
          <w:rFonts w:hint="eastAsia" w:ascii="仿宋" w:hAnsi="仿宋" w:eastAsia="仿宋" w:cs="仿宋"/>
          <w:sz w:val="32"/>
          <w:szCs w:val="32"/>
        </w:rPr>
        <w:t>体要求与披露框架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和第二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章“</w:t>
      </w:r>
      <w:r>
        <w:rPr>
          <w:rFonts w:hint="eastAsia" w:ascii="仿宋" w:hAnsi="仿宋" w:eastAsia="仿宋" w:cs="仿宋"/>
          <w:sz w:val="32"/>
          <w:szCs w:val="32"/>
        </w:rPr>
        <w:t>应对气候变化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</w:t>
      </w:r>
      <w:bookmarkStart w:id="0" w:name="_Hlk181139135"/>
      <w:r>
        <w:rPr>
          <w:rFonts w:hint="eastAsia" w:ascii="仿宋" w:hAnsi="仿宋" w:eastAsia="仿宋" w:cs="仿宋"/>
          <w:sz w:val="32"/>
          <w:szCs w:val="32"/>
        </w:rPr>
        <w:t>后续将在中国证监会统筹下，根据市场需要加快推进其他重要议题具体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的制定，</w:t>
      </w:r>
      <w:bookmarkEnd w:id="0"/>
      <w:r>
        <w:rPr>
          <w:rFonts w:hint="eastAsia" w:ascii="仿宋" w:hAnsi="仿宋" w:eastAsia="仿宋" w:cs="仿宋"/>
          <w:sz w:val="32"/>
          <w:szCs w:val="32"/>
        </w:rPr>
        <w:t>逐步实现对《指引》重点内容的全覆盖。未来将形成以《指引》为强制性和底线要求，《指南》为参考性规范和典型实践推荐的可持续发展信息披露制度体系。本所还将结合上市公司实践情况，持续总结上市公司最佳实践，加强对《指引》和《指南》的政策评估，不断增强制度的适应性、有效性和可操作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二、主要内容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（一）第一章——总体要求与披露框架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《指南》第一章</w:t>
      </w:r>
      <w:r>
        <w:rPr>
          <w:rFonts w:hint="eastAsia" w:ascii="仿宋" w:hAnsi="仿宋" w:eastAsia="仿宋" w:cs="仿宋"/>
          <w:sz w:val="32"/>
          <w:szCs w:val="32"/>
        </w:rPr>
        <w:t>共设置七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，包括第一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总体要求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重要性议题识别和重要性分析，第三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至第六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分别为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可持续发展“</w:t>
      </w:r>
      <w:r>
        <w:rPr>
          <w:rFonts w:hint="eastAsia" w:ascii="仿宋" w:hAnsi="仿宋" w:eastAsia="仿宋" w:cs="仿宋"/>
          <w:sz w:val="32"/>
          <w:szCs w:val="32"/>
        </w:rPr>
        <w:t>四要素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”（即“</w:t>
      </w:r>
      <w:r>
        <w:rPr>
          <w:rFonts w:hint="eastAsia" w:ascii="仿宋" w:hAnsi="仿宋" w:eastAsia="仿宋" w:cs="仿宋"/>
          <w:sz w:val="32"/>
          <w:szCs w:val="32"/>
        </w:rPr>
        <w:t>治理——战略——影响、风险和机遇管理——指标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”）</w:t>
      </w:r>
      <w:r>
        <w:rPr>
          <w:rFonts w:hint="eastAsia" w:ascii="仿宋" w:hAnsi="仿宋" w:eastAsia="仿宋" w:cs="仿宋"/>
          <w:sz w:val="32"/>
          <w:szCs w:val="32"/>
        </w:rPr>
        <w:t>相关内容，第七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为报告披露。主要内容如下：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解释</w:t>
      </w:r>
      <w:r>
        <w:rPr>
          <w:rFonts w:hint="eastAsia" w:ascii="仿宋" w:hAnsi="仿宋" w:eastAsia="仿宋" w:cs="仿宋"/>
          <w:b/>
          <w:sz w:val="32"/>
          <w:szCs w:val="32"/>
        </w:rPr>
        <w:t>可持续发展报告的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原则性规定以及</w:t>
      </w:r>
      <w:r>
        <w:rPr>
          <w:rFonts w:hint="eastAsia" w:ascii="仿宋" w:hAnsi="仿宋" w:eastAsia="仿宋" w:cs="仿宋"/>
          <w:b/>
          <w:sz w:val="32"/>
          <w:szCs w:val="32"/>
        </w:rPr>
        <w:t>识别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sz w:val="32"/>
          <w:szCs w:val="32"/>
        </w:rPr>
        <w:t>分析重要性议题的方法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（第一节、第二节）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第一节“总体要求”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详细解释</w:t>
      </w:r>
      <w:r>
        <w:rPr>
          <w:rFonts w:hint="eastAsia" w:ascii="仿宋" w:hAnsi="仿宋" w:eastAsia="仿宋" w:cs="仿宋"/>
          <w:sz w:val="32"/>
          <w:szCs w:val="32"/>
        </w:rPr>
        <w:t>可持续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报告的披露主体、报告范围、报告期间、审议程序、议题设置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豁免情形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等原则性规定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例如，明确境内外同时上市的公司包含发行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GDR的公司。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第二节“重要性议题识别和重要性分析”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进一步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</w:rPr>
        <w:t>重要性议题的定义及披露要求，按照“了解业务背景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建立议题清单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</w:rPr>
        <w:t>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重要性——</w:t>
      </w:r>
      <w:r>
        <w:rPr>
          <w:rFonts w:hint="eastAsia" w:ascii="仿宋" w:hAnsi="仿宋" w:eastAsia="仿宋" w:cs="仿宋"/>
          <w:sz w:val="32"/>
          <w:szCs w:val="32"/>
        </w:rPr>
        <w:t>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评估结果</w:t>
      </w:r>
      <w:r>
        <w:rPr>
          <w:rFonts w:hint="eastAsia" w:ascii="仿宋" w:hAnsi="仿宋" w:eastAsia="仿宋" w:cs="仿宋"/>
          <w:sz w:val="32"/>
          <w:szCs w:val="32"/>
        </w:rPr>
        <w:t>”的步骤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提出分析影响重要性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财务重要性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的通用</w:t>
      </w:r>
      <w:r>
        <w:rPr>
          <w:rFonts w:hint="eastAsia" w:ascii="仿宋" w:hAnsi="仿宋" w:eastAsia="仿宋" w:cs="仿宋"/>
          <w:sz w:val="32"/>
          <w:szCs w:val="32"/>
        </w:rPr>
        <w:t>框架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和步骤。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二是明确可持续发展“四要素”的披露要求及示例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（第三节至第六节）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。第三节“治理”</w:t>
      </w:r>
      <w:r>
        <w:rPr>
          <w:rFonts w:hint="eastAsia" w:ascii="仿宋" w:hAnsi="仿宋" w:eastAsia="仿宋" w:cs="仿宋"/>
          <w:sz w:val="32"/>
          <w:szCs w:val="32"/>
        </w:rPr>
        <w:t>列举公司可持续发展治理架构和工作机制的披露要求、常见架构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设置</w:t>
      </w:r>
      <w:r>
        <w:rPr>
          <w:rFonts w:hint="eastAsia" w:ascii="仿宋" w:hAnsi="仿宋" w:eastAsia="仿宋" w:cs="仿宋"/>
          <w:sz w:val="32"/>
          <w:szCs w:val="32"/>
        </w:rPr>
        <w:t>、人员构成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职权范围</w:t>
      </w:r>
      <w:r>
        <w:rPr>
          <w:rFonts w:hint="eastAsia" w:ascii="仿宋" w:hAnsi="仿宋" w:eastAsia="仿宋" w:cs="仿宋"/>
          <w:sz w:val="32"/>
          <w:szCs w:val="32"/>
          <w:lang w:bidi="ar"/>
        </w:rPr>
        <w:t>等，提供</w:t>
      </w:r>
      <w:r>
        <w:rPr>
          <w:rFonts w:hint="eastAsia" w:ascii="仿宋" w:hAnsi="仿宋" w:eastAsia="仿宋" w:cs="仿宋"/>
          <w:sz w:val="32"/>
          <w:szCs w:val="32"/>
        </w:rPr>
        <w:t>信息报告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机制</w:t>
      </w:r>
      <w:r>
        <w:rPr>
          <w:rFonts w:hint="eastAsia" w:ascii="仿宋" w:hAnsi="仿宋" w:eastAsia="仿宋" w:cs="仿宋"/>
          <w:sz w:val="32"/>
          <w:szCs w:val="32"/>
        </w:rPr>
        <w:t>、监督考核机制的示例。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第四节“战略”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说明可持续发展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影响、风险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机遇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对公司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战略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影响的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评估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方法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第五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“影响、风险和机遇管理”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提供公司管理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可持续发展相关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影响、风险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机遇的通用流程方法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按照“</w:t>
      </w:r>
      <w:r>
        <w:rPr>
          <w:rFonts w:hint="eastAsia" w:ascii="仿宋" w:hAnsi="仿宋" w:eastAsia="仿宋" w:cs="仿宋"/>
          <w:kern w:val="0"/>
          <w:sz w:val="32"/>
          <w:szCs w:val="32"/>
        </w:rPr>
        <w:t>制定管理制度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——建立</w:t>
      </w:r>
      <w:r>
        <w:rPr>
          <w:rFonts w:hint="eastAsia" w:ascii="仿宋" w:hAnsi="仿宋" w:eastAsia="仿宋" w:cs="仿宋"/>
          <w:kern w:val="0"/>
          <w:sz w:val="32"/>
          <w:szCs w:val="32"/>
        </w:rPr>
        <w:t>监测流程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——采取</w:t>
      </w:r>
      <w:r>
        <w:rPr>
          <w:rFonts w:hint="eastAsia" w:ascii="仿宋" w:hAnsi="仿宋" w:eastAsia="仿宋" w:cs="仿宋"/>
          <w:kern w:val="0"/>
          <w:sz w:val="32"/>
          <w:szCs w:val="32"/>
        </w:rPr>
        <w:t>管理措施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kern w:val="0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步骤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提供示例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第六节“指标与目标”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解释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设定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可持续发展</w:t>
      </w:r>
      <w:r>
        <w:rPr>
          <w:rFonts w:hint="eastAsia" w:ascii="仿宋" w:hAnsi="仿宋" w:eastAsia="仿宋" w:cs="仿宋"/>
          <w:sz w:val="32"/>
          <w:szCs w:val="32"/>
        </w:rPr>
        <w:t>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指标的具体要求，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提供选取</w:t>
      </w:r>
      <w:r>
        <w:rPr>
          <w:rFonts w:hint="eastAsia" w:ascii="仿宋" w:hAnsi="仿宋" w:eastAsia="仿宋" w:cs="仿宋"/>
          <w:sz w:val="32"/>
          <w:szCs w:val="32"/>
        </w:rPr>
        <w:t>目标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和指标</w:t>
      </w:r>
      <w:r>
        <w:rPr>
          <w:rFonts w:hint="eastAsia" w:ascii="仿宋" w:hAnsi="仿宋" w:eastAsia="仿宋" w:cs="仿宋"/>
          <w:sz w:val="32"/>
          <w:szCs w:val="32"/>
        </w:rPr>
        <w:t>的示例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，管理目标和指标的具体做法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三是提供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 w:bidi="ar"/>
        </w:rPr>
        <w:t>报告框架、披露项归类、披露项说明的示例</w:t>
      </w:r>
      <w:r>
        <w:rPr>
          <w:rFonts w:hint="eastAsia" w:ascii="仿宋" w:hAnsi="仿宋" w:eastAsia="仿宋" w:cs="仿宋"/>
          <w:b/>
          <w:sz w:val="32"/>
          <w:szCs w:val="32"/>
          <w:lang w:bidi="ar"/>
        </w:rPr>
        <w:t>。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第七节“报告披露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提供可持续发展报告的总体披露框架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sz w:val="32"/>
          <w:szCs w:val="32"/>
          <w:lang w:bidi="ar"/>
        </w:rPr>
        <w:t>将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披露要求</w:t>
      </w:r>
      <w:r>
        <w:rPr>
          <w:rFonts w:hint="eastAsia" w:ascii="仿宋" w:hAnsi="仿宋" w:eastAsia="仿宋" w:cs="仿宋"/>
          <w:sz w:val="32"/>
          <w:szCs w:val="32"/>
          <w:lang w:bidi="ar"/>
        </w:rPr>
        <w:t>总结</w:t>
      </w:r>
      <w:r>
        <w:rPr>
          <w:rFonts w:hint="eastAsia" w:ascii="仿宋" w:hAnsi="仿宋" w:eastAsia="仿宋" w:cs="仿宋"/>
          <w:sz w:val="32"/>
          <w:szCs w:val="32"/>
          <w:lang w:eastAsia="zh-CN" w:bidi="ar"/>
        </w:rPr>
        <w:t>为各类</w:t>
      </w:r>
      <w:r>
        <w:rPr>
          <w:rFonts w:hint="eastAsia" w:ascii="仿宋" w:hAnsi="仿宋" w:eastAsia="仿宋" w:cs="仿宋"/>
          <w:sz w:val="32"/>
          <w:szCs w:val="32"/>
          <w:lang w:bidi="ar"/>
        </w:rPr>
        <w:t>披露项，提供</w:t>
      </w:r>
      <w:r>
        <w:rPr>
          <w:rFonts w:hint="eastAsia" w:ascii="仿宋" w:hAnsi="仿宋" w:eastAsia="仿宋" w:cs="仿宋"/>
          <w:sz w:val="32"/>
          <w:szCs w:val="32"/>
        </w:rPr>
        <w:t>说明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示例。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outlineLvl w:val="1"/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/>
          <w:kern w:val="2"/>
          <w:sz w:val="32"/>
          <w:szCs w:val="32"/>
          <w:lang w:val="en-US" w:eastAsia="zh-CN" w:bidi="ar-SA"/>
        </w:rPr>
        <w:t>（二）第二章——应对气候变化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《指南》第二章</w:t>
      </w:r>
      <w:r>
        <w:rPr>
          <w:rFonts w:hint="eastAsia" w:ascii="仿宋" w:hAnsi="仿宋" w:eastAsia="仿宋" w:cs="仿宋"/>
          <w:sz w:val="32"/>
          <w:szCs w:val="32"/>
        </w:rPr>
        <w:t>共设置六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，其中，第一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、第二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节为</w:t>
      </w:r>
      <w:r>
        <w:rPr>
          <w:rFonts w:hint="eastAsia" w:ascii="仿宋" w:hAnsi="仿宋" w:eastAsia="仿宋" w:cs="仿宋"/>
          <w:sz w:val="32"/>
          <w:szCs w:val="32"/>
        </w:rPr>
        <w:t>气候相关重要性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评估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方法，</w:t>
      </w:r>
      <w:r>
        <w:rPr>
          <w:rFonts w:hint="eastAsia" w:ascii="仿宋" w:hAnsi="仿宋" w:eastAsia="仿宋" w:cs="仿宋"/>
          <w:sz w:val="32"/>
          <w:szCs w:val="32"/>
        </w:rPr>
        <w:t>第三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</w:t>
      </w:r>
      <w:r>
        <w:rPr>
          <w:rFonts w:hint="eastAsia" w:ascii="仿宋" w:hAnsi="仿宋" w:eastAsia="仿宋" w:cs="仿宋"/>
          <w:sz w:val="32"/>
          <w:szCs w:val="32"/>
        </w:rPr>
        <w:t>至第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五节</w:t>
      </w:r>
      <w:r>
        <w:rPr>
          <w:rFonts w:hint="eastAsia" w:ascii="仿宋" w:hAnsi="仿宋" w:eastAsia="仿宋" w:cs="仿宋"/>
          <w:sz w:val="32"/>
          <w:szCs w:val="32"/>
        </w:rPr>
        <w:t>分别为情景分析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温室气体排放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气候转型计划相关内容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第六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节为</w:t>
      </w:r>
      <w:r>
        <w:rPr>
          <w:rFonts w:hint="eastAsia" w:ascii="仿宋" w:hAnsi="仿宋" w:eastAsia="仿宋" w:cs="仿宋"/>
          <w:sz w:val="32"/>
          <w:szCs w:val="32"/>
        </w:rPr>
        <w:t>披露要点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主要内容如下：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一是提供评估“应对气候变化”议题重要性的方法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（第一节、第二节）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。第一节“气候相关影响重要性评估”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《指南》第一章</w:t>
      </w:r>
      <w:r>
        <w:rPr>
          <w:rFonts w:hint="eastAsia" w:ascii="仿宋" w:hAnsi="仿宋" w:eastAsia="仿宋" w:cs="仿宋"/>
          <w:sz w:val="32"/>
          <w:szCs w:val="32"/>
        </w:rPr>
        <w:t>通用评估方法的基础上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增加需要考虑的具体气候因素。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第二节“气候相关财务重要性评估”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解释</w:t>
      </w:r>
      <w:r>
        <w:rPr>
          <w:rFonts w:hint="eastAsia" w:ascii="仿宋" w:hAnsi="仿宋" w:eastAsia="仿宋" w:cs="仿宋"/>
          <w:sz w:val="32"/>
          <w:szCs w:val="32"/>
        </w:rPr>
        <w:t>气候相关风险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机遇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如何影响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战略和</w:t>
      </w:r>
      <w:r>
        <w:rPr>
          <w:rFonts w:hint="eastAsia" w:ascii="仿宋" w:hAnsi="仿宋" w:eastAsia="仿宋" w:cs="仿宋"/>
          <w:sz w:val="32"/>
          <w:szCs w:val="32"/>
        </w:rPr>
        <w:t>财务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状况，</w:t>
      </w:r>
      <w:r>
        <w:rPr>
          <w:rFonts w:hint="eastAsia" w:ascii="仿宋" w:hAnsi="仿宋" w:eastAsia="仿宋" w:cs="仿宋"/>
          <w:sz w:val="32"/>
          <w:szCs w:val="32"/>
        </w:rPr>
        <w:t>同时提供评估财务影响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的具体</w:t>
      </w:r>
      <w:r>
        <w:rPr>
          <w:rFonts w:hint="eastAsia" w:ascii="仿宋" w:hAnsi="仿宋" w:eastAsia="仿宋" w:cs="仿宋"/>
          <w:sz w:val="32"/>
          <w:szCs w:val="32"/>
        </w:rPr>
        <w:t>方法。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提供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“应对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气候变化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议题特有的评估分析方法和流程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（第三节至第五节）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第三节“气候适应性和气候相关情景分析”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解释</w:t>
      </w:r>
      <w:r>
        <w:rPr>
          <w:rFonts w:hint="eastAsia" w:ascii="仿宋" w:hAnsi="仿宋" w:eastAsia="仿宋" w:cs="仿宋"/>
          <w:sz w:val="32"/>
          <w:szCs w:val="32"/>
        </w:rPr>
        <w:t>气候适应性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概念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，提供</w:t>
      </w:r>
      <w:r>
        <w:rPr>
          <w:rFonts w:hint="eastAsia" w:ascii="仿宋" w:hAnsi="仿宋" w:eastAsia="仿宋" w:cs="仿宋"/>
          <w:sz w:val="32"/>
          <w:szCs w:val="32"/>
        </w:rPr>
        <w:t>情景分析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方法与流程。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第四节“核算温室气体排放量的流程和方法”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</w:rPr>
        <w:t>温室气体排放源的识别方法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温室气体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排放量的</w:t>
      </w:r>
      <w:r>
        <w:rPr>
          <w:rFonts w:hint="eastAsia" w:ascii="仿宋" w:hAnsi="仿宋" w:eastAsia="仿宋" w:cs="仿宋"/>
          <w:sz w:val="32"/>
          <w:szCs w:val="32"/>
        </w:rPr>
        <w:t>计算方法。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第五节“气候相关转型计划”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气候转型</w:t>
      </w:r>
      <w:r>
        <w:rPr>
          <w:rFonts w:hint="eastAsia" w:ascii="仿宋" w:hAnsi="仿宋" w:eastAsia="仿宋" w:cs="仿宋"/>
          <w:sz w:val="32"/>
          <w:szCs w:val="32"/>
        </w:rPr>
        <w:t>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是否有效的判断标准，并提供转型</w:t>
      </w:r>
      <w:r>
        <w:rPr>
          <w:rFonts w:hint="eastAsia" w:ascii="仿宋" w:hAnsi="仿宋" w:eastAsia="仿宋" w:cs="仿宋"/>
          <w:sz w:val="32"/>
          <w:szCs w:val="32"/>
        </w:rPr>
        <w:t>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示例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厘清气候相关议题的信息披露要点。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第六节“披露要点”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明确</w:t>
      </w:r>
      <w:r>
        <w:rPr>
          <w:rFonts w:hint="eastAsia" w:ascii="仿宋" w:hAnsi="仿宋" w:eastAsia="仿宋" w:cs="仿宋"/>
          <w:sz w:val="32"/>
          <w:szCs w:val="32"/>
        </w:rPr>
        <w:t>22个披露要点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，包括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治理部分（5个），涵盖气候相关治理机构、人员构成等内容；战略部分（8个），涵盖气候相关影响、风险和机遇以及对公司的财务影响、适应性等内容；影响、风险及机遇管理部分（1个），介绍管理气候相关影响、风险及机遇的通用流程；指标与目标部分（8个），涵盖温室气体排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放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量、气候相关目标及实现进展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等具体指标。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0NGNhMGVmMzYzMWQxNWRjYWYyZjQ4OGRlNzMxZjEifQ=="/>
  </w:docVars>
  <w:rsids>
    <w:rsidRoot w:val="00261A01"/>
    <w:rsid w:val="00046491"/>
    <w:rsid w:val="000B2DBD"/>
    <w:rsid w:val="000E07F3"/>
    <w:rsid w:val="00173CC1"/>
    <w:rsid w:val="00182693"/>
    <w:rsid w:val="001D4206"/>
    <w:rsid w:val="00215D01"/>
    <w:rsid w:val="00261A01"/>
    <w:rsid w:val="002A3E60"/>
    <w:rsid w:val="002C63E8"/>
    <w:rsid w:val="00386069"/>
    <w:rsid w:val="003A7871"/>
    <w:rsid w:val="003B431A"/>
    <w:rsid w:val="003F5F2E"/>
    <w:rsid w:val="003F6330"/>
    <w:rsid w:val="00402B1C"/>
    <w:rsid w:val="004268E0"/>
    <w:rsid w:val="004478C7"/>
    <w:rsid w:val="00470789"/>
    <w:rsid w:val="00472F1E"/>
    <w:rsid w:val="00474C62"/>
    <w:rsid w:val="004A0F72"/>
    <w:rsid w:val="00521D0E"/>
    <w:rsid w:val="00522941"/>
    <w:rsid w:val="00527165"/>
    <w:rsid w:val="00551EAD"/>
    <w:rsid w:val="00581248"/>
    <w:rsid w:val="00587EBE"/>
    <w:rsid w:val="005E5589"/>
    <w:rsid w:val="006439D8"/>
    <w:rsid w:val="0066687F"/>
    <w:rsid w:val="00684EBF"/>
    <w:rsid w:val="006D492A"/>
    <w:rsid w:val="00722212"/>
    <w:rsid w:val="00764672"/>
    <w:rsid w:val="007A5319"/>
    <w:rsid w:val="007B49C6"/>
    <w:rsid w:val="007D69FB"/>
    <w:rsid w:val="00803F83"/>
    <w:rsid w:val="0086366F"/>
    <w:rsid w:val="009C016A"/>
    <w:rsid w:val="009D74A7"/>
    <w:rsid w:val="009E0EA6"/>
    <w:rsid w:val="00A6559B"/>
    <w:rsid w:val="00A7005E"/>
    <w:rsid w:val="00AD5C88"/>
    <w:rsid w:val="00BE1494"/>
    <w:rsid w:val="00C447E3"/>
    <w:rsid w:val="00D17952"/>
    <w:rsid w:val="00D9075C"/>
    <w:rsid w:val="00E36FE5"/>
    <w:rsid w:val="00E4672E"/>
    <w:rsid w:val="00E50F1D"/>
    <w:rsid w:val="00ED76FF"/>
    <w:rsid w:val="00EE3B77"/>
    <w:rsid w:val="00EF50C0"/>
    <w:rsid w:val="00F33EA4"/>
    <w:rsid w:val="00F347A3"/>
    <w:rsid w:val="00F35DD8"/>
    <w:rsid w:val="00F5302F"/>
    <w:rsid w:val="00F94794"/>
    <w:rsid w:val="00FF06A0"/>
    <w:rsid w:val="01EC20E2"/>
    <w:rsid w:val="01EF572E"/>
    <w:rsid w:val="02426602"/>
    <w:rsid w:val="02D74B40"/>
    <w:rsid w:val="03265180"/>
    <w:rsid w:val="03E312C3"/>
    <w:rsid w:val="042C4A18"/>
    <w:rsid w:val="0468746E"/>
    <w:rsid w:val="049D3B67"/>
    <w:rsid w:val="04B769D7"/>
    <w:rsid w:val="04BA2023"/>
    <w:rsid w:val="05015EA4"/>
    <w:rsid w:val="051756C8"/>
    <w:rsid w:val="05557F9E"/>
    <w:rsid w:val="0564280F"/>
    <w:rsid w:val="05901C32"/>
    <w:rsid w:val="06222576"/>
    <w:rsid w:val="06BA27AF"/>
    <w:rsid w:val="06C673A5"/>
    <w:rsid w:val="07866B35"/>
    <w:rsid w:val="07A019A5"/>
    <w:rsid w:val="0825634E"/>
    <w:rsid w:val="08712AE0"/>
    <w:rsid w:val="08CB0CA3"/>
    <w:rsid w:val="091F0FEF"/>
    <w:rsid w:val="094543BF"/>
    <w:rsid w:val="095A3DD5"/>
    <w:rsid w:val="0A1B3564"/>
    <w:rsid w:val="0C234952"/>
    <w:rsid w:val="0C4672A0"/>
    <w:rsid w:val="0D5B011C"/>
    <w:rsid w:val="0D936065"/>
    <w:rsid w:val="0DC23522"/>
    <w:rsid w:val="0DF90060"/>
    <w:rsid w:val="0E603C3C"/>
    <w:rsid w:val="0EDD6F5C"/>
    <w:rsid w:val="0F331350"/>
    <w:rsid w:val="0FCB52AE"/>
    <w:rsid w:val="1041184B"/>
    <w:rsid w:val="11140D0D"/>
    <w:rsid w:val="12617F82"/>
    <w:rsid w:val="13700EBE"/>
    <w:rsid w:val="13983E78"/>
    <w:rsid w:val="139C5A57"/>
    <w:rsid w:val="13B93B46"/>
    <w:rsid w:val="144B2C98"/>
    <w:rsid w:val="145A112D"/>
    <w:rsid w:val="147A357D"/>
    <w:rsid w:val="14B7657F"/>
    <w:rsid w:val="14F72E20"/>
    <w:rsid w:val="15B036FB"/>
    <w:rsid w:val="16722A60"/>
    <w:rsid w:val="16F7073B"/>
    <w:rsid w:val="18025D64"/>
    <w:rsid w:val="18860743"/>
    <w:rsid w:val="18DC65B5"/>
    <w:rsid w:val="19502AFF"/>
    <w:rsid w:val="19BC73C3"/>
    <w:rsid w:val="19D13C3F"/>
    <w:rsid w:val="1A6716A8"/>
    <w:rsid w:val="1A70565B"/>
    <w:rsid w:val="1A9F6E16"/>
    <w:rsid w:val="1ABE0B0A"/>
    <w:rsid w:val="1C112A19"/>
    <w:rsid w:val="1C3E30E2"/>
    <w:rsid w:val="1CAE694F"/>
    <w:rsid w:val="1CEE2B45"/>
    <w:rsid w:val="1E553225"/>
    <w:rsid w:val="1E933BB9"/>
    <w:rsid w:val="1F26058A"/>
    <w:rsid w:val="205D622D"/>
    <w:rsid w:val="20B61DE1"/>
    <w:rsid w:val="2129639B"/>
    <w:rsid w:val="21CA447C"/>
    <w:rsid w:val="240370EB"/>
    <w:rsid w:val="24113261"/>
    <w:rsid w:val="24267B5E"/>
    <w:rsid w:val="2446522A"/>
    <w:rsid w:val="2483022C"/>
    <w:rsid w:val="24CE3408"/>
    <w:rsid w:val="25643BBA"/>
    <w:rsid w:val="256C22D1"/>
    <w:rsid w:val="25DF51DE"/>
    <w:rsid w:val="25FC0296"/>
    <w:rsid w:val="26265313"/>
    <w:rsid w:val="27602AA7"/>
    <w:rsid w:val="27765E26"/>
    <w:rsid w:val="281713B7"/>
    <w:rsid w:val="28242227"/>
    <w:rsid w:val="2829733C"/>
    <w:rsid w:val="28B9421C"/>
    <w:rsid w:val="28C055AB"/>
    <w:rsid w:val="29885B6F"/>
    <w:rsid w:val="2B391645"/>
    <w:rsid w:val="2B577D1D"/>
    <w:rsid w:val="2B9845BD"/>
    <w:rsid w:val="2C0F23A5"/>
    <w:rsid w:val="2C3562B0"/>
    <w:rsid w:val="2C776472"/>
    <w:rsid w:val="2C8114F5"/>
    <w:rsid w:val="2C8B4122"/>
    <w:rsid w:val="2CD07D87"/>
    <w:rsid w:val="2D1C2FCC"/>
    <w:rsid w:val="2D360531"/>
    <w:rsid w:val="2D5664DE"/>
    <w:rsid w:val="2DB87198"/>
    <w:rsid w:val="2F7E7F6E"/>
    <w:rsid w:val="30316D8E"/>
    <w:rsid w:val="308A4F2F"/>
    <w:rsid w:val="30B33C47"/>
    <w:rsid w:val="310E70CF"/>
    <w:rsid w:val="31126627"/>
    <w:rsid w:val="31DE2F46"/>
    <w:rsid w:val="31F6203D"/>
    <w:rsid w:val="324A05DB"/>
    <w:rsid w:val="32697D44"/>
    <w:rsid w:val="3291620A"/>
    <w:rsid w:val="32C43EEA"/>
    <w:rsid w:val="336B5448"/>
    <w:rsid w:val="33B26438"/>
    <w:rsid w:val="34644401"/>
    <w:rsid w:val="34CB6D1D"/>
    <w:rsid w:val="34E412F8"/>
    <w:rsid w:val="35B06179"/>
    <w:rsid w:val="35E93C67"/>
    <w:rsid w:val="3613470F"/>
    <w:rsid w:val="36266C69"/>
    <w:rsid w:val="362B4280"/>
    <w:rsid w:val="369938DF"/>
    <w:rsid w:val="36B67FED"/>
    <w:rsid w:val="3788740A"/>
    <w:rsid w:val="379C5435"/>
    <w:rsid w:val="387737AC"/>
    <w:rsid w:val="38CC3AF8"/>
    <w:rsid w:val="393C5773"/>
    <w:rsid w:val="397D1296"/>
    <w:rsid w:val="3A241712"/>
    <w:rsid w:val="3A4354CA"/>
    <w:rsid w:val="3AA27206"/>
    <w:rsid w:val="3AF17846"/>
    <w:rsid w:val="3B1B2C2B"/>
    <w:rsid w:val="3BB93C94"/>
    <w:rsid w:val="3BBA5263"/>
    <w:rsid w:val="3C1A7270"/>
    <w:rsid w:val="3CBD720B"/>
    <w:rsid w:val="3DCB25D0"/>
    <w:rsid w:val="3E00538E"/>
    <w:rsid w:val="3F163D1F"/>
    <w:rsid w:val="40994E7A"/>
    <w:rsid w:val="40B57568"/>
    <w:rsid w:val="40CD2B03"/>
    <w:rsid w:val="4171348E"/>
    <w:rsid w:val="41B07736"/>
    <w:rsid w:val="41C840CA"/>
    <w:rsid w:val="420E5181"/>
    <w:rsid w:val="420F2CA7"/>
    <w:rsid w:val="421A1629"/>
    <w:rsid w:val="427F1BDB"/>
    <w:rsid w:val="42CF5FBD"/>
    <w:rsid w:val="438E0F66"/>
    <w:rsid w:val="43C55D14"/>
    <w:rsid w:val="440920A4"/>
    <w:rsid w:val="4416031D"/>
    <w:rsid w:val="4441183E"/>
    <w:rsid w:val="447830E2"/>
    <w:rsid w:val="450E5498"/>
    <w:rsid w:val="45E36925"/>
    <w:rsid w:val="46445615"/>
    <w:rsid w:val="46C31FBE"/>
    <w:rsid w:val="474431CC"/>
    <w:rsid w:val="47E81FD1"/>
    <w:rsid w:val="486755EB"/>
    <w:rsid w:val="4893018E"/>
    <w:rsid w:val="48F6071D"/>
    <w:rsid w:val="491C0A99"/>
    <w:rsid w:val="49634005"/>
    <w:rsid w:val="49731D6E"/>
    <w:rsid w:val="4A895CED"/>
    <w:rsid w:val="4AB368C6"/>
    <w:rsid w:val="4B0233A9"/>
    <w:rsid w:val="4B400582"/>
    <w:rsid w:val="4B78366B"/>
    <w:rsid w:val="4BB5666E"/>
    <w:rsid w:val="4C3902E6"/>
    <w:rsid w:val="4C8147A2"/>
    <w:rsid w:val="4CF66F3E"/>
    <w:rsid w:val="4D493511"/>
    <w:rsid w:val="4ED96B17"/>
    <w:rsid w:val="4EDB463D"/>
    <w:rsid w:val="4EFB083B"/>
    <w:rsid w:val="4F4A4A2E"/>
    <w:rsid w:val="50670AAE"/>
    <w:rsid w:val="508E3512"/>
    <w:rsid w:val="50C8299F"/>
    <w:rsid w:val="50DA2DB1"/>
    <w:rsid w:val="50E83041"/>
    <w:rsid w:val="51791725"/>
    <w:rsid w:val="51EC2BAD"/>
    <w:rsid w:val="53733096"/>
    <w:rsid w:val="541D74A6"/>
    <w:rsid w:val="54336CC9"/>
    <w:rsid w:val="54596730"/>
    <w:rsid w:val="5523289A"/>
    <w:rsid w:val="55825812"/>
    <w:rsid w:val="56084344"/>
    <w:rsid w:val="563F1955"/>
    <w:rsid w:val="56446F6C"/>
    <w:rsid w:val="572D5C52"/>
    <w:rsid w:val="57B97B72"/>
    <w:rsid w:val="58AB1524"/>
    <w:rsid w:val="598A113A"/>
    <w:rsid w:val="59A1530E"/>
    <w:rsid w:val="59A541C5"/>
    <w:rsid w:val="59B166C6"/>
    <w:rsid w:val="5BCF7A9C"/>
    <w:rsid w:val="5BF31218"/>
    <w:rsid w:val="5C4B3B98"/>
    <w:rsid w:val="5C5D48E3"/>
    <w:rsid w:val="5C852D91"/>
    <w:rsid w:val="5D9A3915"/>
    <w:rsid w:val="5DBE5856"/>
    <w:rsid w:val="5E0D0017"/>
    <w:rsid w:val="5E2558D5"/>
    <w:rsid w:val="5E9071F2"/>
    <w:rsid w:val="60C90799"/>
    <w:rsid w:val="617B1118"/>
    <w:rsid w:val="61A92379"/>
    <w:rsid w:val="62AD7C47"/>
    <w:rsid w:val="62D43425"/>
    <w:rsid w:val="62DB47B4"/>
    <w:rsid w:val="632443AD"/>
    <w:rsid w:val="64374EF8"/>
    <w:rsid w:val="64C70F64"/>
    <w:rsid w:val="64E35BA2"/>
    <w:rsid w:val="65402FF4"/>
    <w:rsid w:val="659547A6"/>
    <w:rsid w:val="660404C6"/>
    <w:rsid w:val="660E6C4E"/>
    <w:rsid w:val="665C5C0C"/>
    <w:rsid w:val="66616B07"/>
    <w:rsid w:val="66B15F58"/>
    <w:rsid w:val="673152EA"/>
    <w:rsid w:val="676E5BF7"/>
    <w:rsid w:val="67915D89"/>
    <w:rsid w:val="682D3D04"/>
    <w:rsid w:val="68B305D5"/>
    <w:rsid w:val="6981338F"/>
    <w:rsid w:val="699F29DF"/>
    <w:rsid w:val="69C266CE"/>
    <w:rsid w:val="6C067720"/>
    <w:rsid w:val="6C8163CC"/>
    <w:rsid w:val="6D4A0EB4"/>
    <w:rsid w:val="6D7573B9"/>
    <w:rsid w:val="6D97577B"/>
    <w:rsid w:val="6D9C62E2"/>
    <w:rsid w:val="71AF5789"/>
    <w:rsid w:val="72A77254"/>
    <w:rsid w:val="72F5541E"/>
    <w:rsid w:val="732F2C5A"/>
    <w:rsid w:val="74C72DEA"/>
    <w:rsid w:val="754B13C2"/>
    <w:rsid w:val="76261D92"/>
    <w:rsid w:val="76C92E49"/>
    <w:rsid w:val="76E00193"/>
    <w:rsid w:val="772E0EFE"/>
    <w:rsid w:val="77640DC4"/>
    <w:rsid w:val="779E42D6"/>
    <w:rsid w:val="77D31AA6"/>
    <w:rsid w:val="78411105"/>
    <w:rsid w:val="784D3606"/>
    <w:rsid w:val="785E4369"/>
    <w:rsid w:val="79110AD8"/>
    <w:rsid w:val="79822FE7"/>
    <w:rsid w:val="7A624E9F"/>
    <w:rsid w:val="7AB92285"/>
    <w:rsid w:val="7AD95625"/>
    <w:rsid w:val="7ADC6EC3"/>
    <w:rsid w:val="7C237552"/>
    <w:rsid w:val="7C694787"/>
    <w:rsid w:val="7CA12173"/>
    <w:rsid w:val="7D1E1A15"/>
    <w:rsid w:val="7D24527D"/>
    <w:rsid w:val="7DA5416E"/>
    <w:rsid w:val="7E1A042F"/>
    <w:rsid w:val="7E851D4C"/>
    <w:rsid w:val="7EF9B26B"/>
    <w:rsid w:val="7F203823"/>
    <w:rsid w:val="7F2826D7"/>
    <w:rsid w:val="7F5931D8"/>
    <w:rsid w:val="EDF7B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fontstyle01"/>
    <w:basedOn w:val="7"/>
    <w:qFormat/>
    <w:uiPriority w:val="0"/>
    <w:rPr>
      <w:rFonts w:hint="eastAsia" w:ascii="仿宋_GB2312" w:eastAsia="仿宋_GB2312"/>
      <w:color w:val="000000"/>
      <w:sz w:val="30"/>
      <w:szCs w:val="30"/>
    </w:rPr>
  </w:style>
  <w:style w:type="paragraph" w:customStyle="1" w:styleId="9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样式3"/>
    <w:qFormat/>
    <w:uiPriority w:val="1"/>
    <w:rPr>
      <w:rFonts w:eastAsia="宋体"/>
      <w:b/>
      <w:color w:val="FF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412</Words>
  <Characters>2355</Characters>
  <Lines>19</Lines>
  <Paragraphs>5</Paragraphs>
  <TotalTime>15</TotalTime>
  <ScaleCrop>false</ScaleCrop>
  <LinksUpToDate>false</LinksUpToDate>
  <CharactersWithSpaces>2762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2024-10-30T08:34:00Z</dcterms:created>
  <dc:creator>邢梅</dc:creator>
  <cp:lastModifiedBy>Administrator</cp:lastModifiedBy>
  <dcterms:modified xsi:type="dcterms:W3CDTF">2024-11-06T09:15:37Z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ECD330C0F54846CA9BC742403113F17D</vt:lpwstr>
  </property>
</Properties>
</file>